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33DA4" w:rsidRPr="00C07804" w:rsidP="00B33DA4">
      <w:pPr>
        <w:ind w:left="540" w:right="1878"/>
        <w:rPr>
          <w:b/>
          <w:color w:val="AF272F"/>
          <w:sz w:val="44"/>
          <w:szCs w:val="44"/>
          <w:lang w:val="en-AU"/>
        </w:rPr>
      </w:pPr>
      <w:r w:rsidRPr="00C07804">
        <w:rPr>
          <w:b/>
          <w:noProof/>
          <w:color w:val="AF272F"/>
          <w:sz w:val="44"/>
          <w:szCs w:val="44"/>
          <w:lang w:val="en-AU"/>
        </w:rPr>
        <w:t>2026</w:t>
      </w:r>
      <w:r w:rsidRPr="00C07804">
        <w:rPr>
          <w:noProof/>
          <w:lang w:val="en-AU" w:eastAsia="en-AU"/>
        </w:rPr>
        <mc:AlternateContent>
          <mc:Choice Requires="wps">
            <w:drawing>
              <wp:anchor distT="45720" distB="45720" distL="114300" distR="114300" simplePos="0" relativeHeight="251659264" behindDoc="1" locked="1" layoutInCell="1" allowOverlap="1">
                <wp:simplePos x="0" y="0"/>
                <wp:positionH relativeFrom="margin">
                  <wp:posOffset>100965</wp:posOffset>
                </wp:positionH>
                <wp:positionV relativeFrom="bottomMargin">
                  <wp:posOffset>-1260475</wp:posOffset>
                </wp:positionV>
                <wp:extent cx="9774000" cy="1134000"/>
                <wp:effectExtent l="0" t="0" r="0" b="952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4000" cy="1134000"/>
                        </a:xfrm>
                        <a:prstGeom prst="rect">
                          <a:avLst/>
                        </a:prstGeom>
                        <a:solidFill>
                          <a:srgbClr val="FFFFFF"/>
                        </a:solidFill>
                        <a:ln w="9525">
                          <a:noFill/>
                          <a:miter lim="800000"/>
                          <a:headEnd/>
                          <a:tailEnd/>
                        </a:ln>
                      </wps:spPr>
                      <wps:txbx>
                        <w:txbxContent>
                          <w:p w:rsidR="00B33DA4" w:rsidP="00B33DA4">
                            <w:pPr>
                              <w:pStyle w:val="ESBodyText"/>
                            </w:pPr>
                            <w:r>
                              <w:rPr>
                                <w:noProof/>
                              </w:rPr>
                              <w:t>Submitted for review by Rochellee Plumb (School Principal) on 29 January, 2026 at 12:21 PM</w:t>
                              <w:br/>
                              <w:t>Endorsed by Kevin Murphy (Senior Education Improvement Leader) on 30 January, 2026 at 08:54 AM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29pt;margin-left:7.95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1pt;z-index:-251658240" fillcolor="white" stroked="f" strokeweight="0.75pt">
                <v:stroke joinstyle="miter"/>
                <v:textbox>
                  <w:txbxContent>
                    <w:p w:rsidR="00B33DA4" w:rsidP="00B33DA4">
                      <w:pPr>
                        <w:pStyle w:val="ESBodyText"/>
                      </w:pPr>
                      <w:r>
                        <w:rPr>
                          <w:noProof/>
                        </w:rPr>
                        <w:t>Submitted for review by Rochellee Plumb (School Principal) on 29 January, 2026 at 12:21 PM</w:t>
                        <w:br/>
                        <w:t>Endorsed by Kevin Murphy (Senior Education Improvement Leader) on 30 January, 2026 at 08:54 AM</w:t>
                        <w:br/>
                      </w:r>
                    </w:p>
                  </w:txbxContent>
                </v:textbox>
                <w10:wrap anchorx="margin"/>
                <w10:anchorlock/>
              </v:shape>
            </w:pict>
          </mc:Fallback>
        </mc:AlternateContent>
      </w:r>
      <w:r w:rsidRPr="00C07804">
        <w:rPr>
          <w:b/>
          <w:color w:val="AF272F"/>
          <w:sz w:val="44"/>
          <w:szCs w:val="44"/>
          <w:lang w:val="en-AU"/>
        </w:rPr>
        <w:t xml:space="preserve"> Annual Implementation Plan</w:t>
      </w:r>
    </w:p>
    <w:p w:rsidR="00B33DA4" w:rsidRPr="00C07804" w:rsidP="00B33DA4">
      <w:pPr>
        <w:ind w:left="540" w:right="1878"/>
        <w:rPr>
          <w:b/>
          <w:color w:val="AF272F"/>
          <w:sz w:val="28"/>
          <w:szCs w:val="44"/>
          <w:lang w:val="en-AU"/>
        </w:rPr>
      </w:pPr>
      <w:r w:rsidRPr="00C07804">
        <w:rPr>
          <w:b/>
          <w:color w:val="AF272F"/>
          <w:sz w:val="28"/>
          <w:szCs w:val="44"/>
          <w:lang w:val="en-AU"/>
        </w:rPr>
        <w:t xml:space="preserve">for improving student outcomes </w:t>
      </w:r>
    </w:p>
    <w:p w:rsidR="00B33DA4" w:rsidRPr="00C07804" w:rsidP="00B33DA4">
      <w:pPr>
        <w:ind w:left="540" w:right="1878"/>
        <w:rPr>
          <w:color w:val="AF272F"/>
          <w:sz w:val="22"/>
          <w:szCs w:val="36"/>
          <w:lang w:val="en-AU"/>
        </w:rPr>
      </w:pPr>
    </w:p>
    <w:p w:rsidR="00B33DA4" w:rsidRPr="00C07804" w:rsidP="00B33DA4">
      <w:pPr>
        <w:pStyle w:val="ESIntroParagraph"/>
        <w:ind w:left="-567" w:right="978" w:firstLine="1107"/>
        <w:rPr>
          <w:color w:val="595959" w:themeColor="text1" w:themeTint="A6"/>
          <w:lang w:val="en-AU"/>
        </w:rPr>
      </w:pPr>
      <w:r w:rsidRPr="00C07804">
        <w:rPr>
          <w:noProof/>
          <w:color w:val="595959" w:themeColor="text1" w:themeTint="A6"/>
          <w:lang w:val="en-AU"/>
        </w:rPr>
        <w:t>Murrumbeena Primary School (3449)</w:t>
      </w: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BodyText"/>
        <w:rPr>
          <w:lang w:val="en-AU"/>
        </w:rPr>
      </w:pPr>
    </w:p>
    <w:p w:rsidR="00B33DA4" w:rsidRPr="00C07804" w:rsidP="00B33DA4">
      <w:pPr>
        <w:pStyle w:val="ESBodyText"/>
        <w:jc w:val="center"/>
        <w:rPr>
          <w:lang w:val="en-AU"/>
        </w:rPr>
      </w:pPr>
      <w:r w:rsidRPr="00C07804">
        <w:rPr>
          <w:noProof/>
          <w:sz w:val="44"/>
          <w:szCs w:val="44"/>
          <w:lang w:val="en-AU"/>
        </w:rPr>
        <w:drawing>
          <wp:anchor simplePos="0" relativeHeight="251660288" behindDoc="1" locked="0" layoutInCell="1" allowOverlap="1">
            <wp:simplePos x="0" y="0"/>
            <wp:positionH relativeFrom="page">
              <wp:align>center</wp:align>
            </wp:positionH>
            <wp:positionV relativeFrom="paragraph">
              <wp:posOffset>0</wp:posOffset>
            </wp:positionV>
            <wp:extent cx="2857899" cy="3810532"/>
            <wp:wrapNone/>
            <wp:docPr id="100011" name=""/>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xmlns:r="http://schemas.openxmlformats.org/officeDocument/2006/relationships" r:embed="rId9"/>
                    <a:stretch>
                      <a:fillRect/>
                    </a:stretch>
                  </pic:blipFill>
                  <pic:spPr>
                    <a:xfrm>
                      <a:off x="0" y="0"/>
                      <a:ext cx="2857899" cy="3810532"/>
                    </a:xfrm>
                    <a:prstGeom prst="rect">
                      <a:avLst/>
                    </a:prstGeom>
                  </pic:spPr>
                </pic:pic>
              </a:graphicData>
            </a:graphic>
          </wp:anchor>
        </w:drawing>
      </w:r>
    </w:p>
    <w:p w:rsidR="00B33DA4" w:rsidRPr="00C07804" w:rsidP="00B33DA4">
      <w:pPr>
        <w:pStyle w:val="ESBodyText"/>
        <w:rPr>
          <w:lang w:val="en-AU"/>
        </w:rPr>
      </w:pPr>
    </w:p>
    <w:p w:rsidR="00C703C5" w:rsidRPr="00C07804" w:rsidP="00F83BD4">
      <w:pPr>
        <w:ind w:right="2759"/>
        <w:rPr>
          <w:lang w:val="en-AU"/>
        </w:rPr>
        <w:sectPr w:rsidSect="002B1BCB">
          <w:headerReference w:type="even" r:id="rId10"/>
          <w:headerReference w:type="default" r:id="rId11"/>
          <w:footerReference w:type="default" r:id="rId12"/>
          <w:headerReference w:type="first" r:id="rId13"/>
          <w:pgSz w:w="11906" w:h="16838"/>
          <w:pgMar w:top="1004" w:right="737" w:bottom="1304" w:left="561" w:header="624" w:footer="1134" w:gutter="0"/>
          <w:pgNumType w:start="1"/>
          <w:cols w:space="397"/>
          <w:docGrid w:linePitch="360"/>
        </w:sectPr>
      </w:pPr>
    </w:p>
    <w:p w:rsidR="006307C3" w:rsidRPr="009B5728" w:rsidP="00BF4A78">
      <w:pPr>
        <w:ind w:right="2759"/>
        <w:rPr>
          <w:b/>
          <w:color w:val="AF272F"/>
          <w:sz w:val="36"/>
          <w:szCs w:val="44"/>
          <w:lang w:val="en-AU"/>
        </w:rPr>
      </w:pPr>
      <w:r w:rsidRPr="009B5728">
        <w:rPr>
          <w:b/>
          <w:color w:val="AF272F"/>
          <w:sz w:val="36"/>
          <w:szCs w:val="44"/>
          <w:lang w:val="en-AU"/>
        </w:rPr>
        <w:t xml:space="preserve">Self-evaluation </w:t>
      </w:r>
      <w:r w:rsidRPr="009B5728" w:rsidR="003A0A90">
        <w:rPr>
          <w:b/>
          <w:color w:val="AF272F"/>
          <w:sz w:val="36"/>
          <w:szCs w:val="44"/>
          <w:lang w:val="en-AU"/>
        </w:rPr>
        <w:t>s</w:t>
      </w:r>
      <w:r w:rsidRPr="009B5728">
        <w:rPr>
          <w:b/>
          <w:color w:val="AF272F"/>
          <w:sz w:val="36"/>
          <w:szCs w:val="44"/>
          <w:lang w:val="en-AU"/>
        </w:rPr>
        <w:t>ummary</w:t>
      </w:r>
    </w:p>
    <w:p w:rsidR="00745153" w:rsidRPr="009B5728" w:rsidP="00715EBF">
      <w:pPr>
        <w:pStyle w:val="ESIntroParagraph"/>
        <w:ind w:left="-450" w:right="4330" w:firstLine="450"/>
        <w:rPr>
          <w:color w:val="auto"/>
          <w:sz w:val="18"/>
          <w:szCs w:val="18"/>
          <w:lang w:val="en-AU"/>
        </w:rPr>
      </w:pPr>
    </w:p>
    <w:p w:rsidR="006E1708" w:rsidRPr="009B5728" w:rsidP="006E1708">
      <w:pPr>
        <w:pStyle w:val="ESBodyText"/>
        <w:rPr>
          <w:lang w:val="en-AU"/>
        </w:rPr>
      </w:pPr>
    </w:p>
    <w:tbl>
      <w:tblPr>
        <w:tblStyle w:val="TableGrid"/>
        <w:tblW w:w="0" w:type="auto"/>
        <w:tblLayout w:type="fixed"/>
        <w:tblLook w:val="04A0"/>
      </w:tblPr>
      <w:tblGrid>
        <w:gridCol w:w="2122"/>
        <w:gridCol w:w="5670"/>
        <w:gridCol w:w="5670"/>
      </w:tblGrid>
      <w:tr w:rsidTr="00C51F6B">
        <w:tblPrEx>
          <w:tblW w:w="0" w:type="auto"/>
          <w:tblLayout w:type="fixed"/>
          <w:tblLook w:val="04A0"/>
        </w:tblPrEx>
        <w:tc>
          <w:tcPr>
            <w:tcW w:w="2122" w:type="dxa"/>
            <w:vMerge w:val="restart"/>
          </w:tcPr>
          <w:p w:rsidR="00CD29F2" w:rsidRPr="002D77FE" w:rsidP="004E7357">
            <w:pPr>
              <w:pStyle w:val="ESBodyText"/>
              <w:rPr>
                <w:b/>
                <w:bCs/>
                <w:sz w:val="20"/>
                <w:szCs w:val="20"/>
                <w:lang w:val="en-AU"/>
              </w:rPr>
            </w:pPr>
            <w:bookmarkStart w:id="0" w:name="_Hlk207354264"/>
            <w:r w:rsidRPr="002D77FE">
              <w:rPr>
                <w:b/>
                <w:bCs/>
                <w:sz w:val="20"/>
                <w:szCs w:val="20"/>
                <w:lang w:val="en-AU"/>
              </w:rPr>
              <w:t>FISO 2.0</w:t>
            </w:r>
          </w:p>
          <w:p w:rsidR="00BF4A78" w:rsidRPr="002D77FE" w:rsidP="004E7357">
            <w:pPr>
              <w:pStyle w:val="ESBodyText"/>
              <w:rPr>
                <w:b/>
                <w:bCs/>
                <w:sz w:val="20"/>
                <w:szCs w:val="20"/>
                <w:lang w:val="en-AU"/>
              </w:rPr>
            </w:pPr>
            <w:r w:rsidRPr="002D77FE">
              <w:rPr>
                <w:b/>
                <w:bCs/>
                <w:sz w:val="20"/>
                <w:szCs w:val="20"/>
                <w:lang w:val="en-AU"/>
              </w:rPr>
              <w:t>outcomes</w:t>
            </w:r>
          </w:p>
        </w:tc>
        <w:tc>
          <w:tcPr>
            <w:tcW w:w="5670" w:type="dxa"/>
            <w:shd w:val="clear" w:color="auto" w:fill="004C97"/>
          </w:tcPr>
          <w:p w:rsidR="00CD29F2" w:rsidRPr="00C51F6B"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Learning</w:t>
            </w:r>
          </w:p>
        </w:tc>
        <w:tc>
          <w:tcPr>
            <w:tcW w:w="5670" w:type="dxa"/>
            <w:shd w:val="clear" w:color="auto" w:fill="004C97"/>
          </w:tcPr>
          <w:p w:rsidR="00CD29F2" w:rsidRPr="00C51F6B"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Wellbeing</w:t>
            </w:r>
          </w:p>
        </w:tc>
      </w:tr>
      <w:tr w:rsidTr="00CD29F2">
        <w:tblPrEx>
          <w:tblW w:w="0" w:type="auto"/>
          <w:tblLayout w:type="fixed"/>
          <w:tblLook w:val="04A0"/>
        </w:tblPrEx>
        <w:tc>
          <w:tcPr>
            <w:tcW w:w="2122" w:type="dxa"/>
            <w:vMerge/>
          </w:tcPr>
          <w:p w:rsidR="00CD29F2" w:rsidRPr="002D77FE" w:rsidP="004E7357">
            <w:pPr>
              <w:pStyle w:val="ESBodyText"/>
              <w:rPr>
                <w:b/>
                <w:bCs/>
                <w:sz w:val="20"/>
                <w:szCs w:val="20"/>
                <w:lang w:val="en-AU"/>
              </w:rPr>
            </w:pPr>
          </w:p>
        </w:tc>
        <w:tc>
          <w:tcPr>
            <w:tcW w:w="5670"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c>
          <w:tcPr>
            <w:tcW w:w="5670"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r>
    </w:tbl>
    <w:tbl>
      <w:tblPr>
        <w:tblStyle w:val="TableGrid"/>
        <w:tblW w:w="0" w:type="auto"/>
        <w:tblBorders>
          <w:top w:val="none" w:sz="0" w:space="0" w:color="auto"/>
        </w:tblBorders>
        <w:tblLook w:val="04A0"/>
      </w:tblPr>
      <w:tblGrid>
        <w:gridCol w:w="2122"/>
        <w:gridCol w:w="2268"/>
        <w:gridCol w:w="2248"/>
        <w:gridCol w:w="2248"/>
        <w:gridCol w:w="2248"/>
        <w:gridCol w:w="2328"/>
      </w:tblGrid>
      <w:tr w:rsidTr="004E6386">
        <w:tblPrEx>
          <w:tblW w:w="0" w:type="auto"/>
          <w:tblBorders>
            <w:top w:val="none" w:sz="0" w:space="0" w:color="auto"/>
          </w:tblBorders>
          <w:tblLook w:val="04A0"/>
        </w:tblPrEx>
        <w:tc>
          <w:tcPr>
            <w:tcW w:w="2122" w:type="dxa"/>
            <w:vMerge w:val="restart"/>
          </w:tcPr>
          <w:p w:rsidR="00CD29F2" w:rsidRPr="002D77FE" w:rsidP="004E7357">
            <w:pPr>
              <w:pStyle w:val="ESBodyText"/>
              <w:rPr>
                <w:b/>
                <w:bCs/>
                <w:sz w:val="20"/>
                <w:szCs w:val="20"/>
                <w:lang w:val="en-AU"/>
              </w:rPr>
            </w:pPr>
            <w:bookmarkEnd w:id="0"/>
            <w:r w:rsidRPr="002D77FE">
              <w:rPr>
                <w:b/>
                <w:bCs/>
                <w:sz w:val="20"/>
                <w:szCs w:val="20"/>
                <w:lang w:val="en-AU"/>
              </w:rPr>
              <w:t>FISO 2.0 core</w:t>
            </w:r>
          </w:p>
          <w:p w:rsidR="00BF4A78" w:rsidP="004E7357">
            <w:pPr>
              <w:pStyle w:val="ESBodyText"/>
              <w:rPr>
                <w:lang w:val="en-AU"/>
              </w:rPr>
            </w:pPr>
            <w:r w:rsidRPr="002D77FE">
              <w:rPr>
                <w:b/>
                <w:bCs/>
                <w:sz w:val="20"/>
                <w:szCs w:val="20"/>
                <w:lang w:val="en-AU"/>
              </w:rPr>
              <w:t>elements</w:t>
            </w:r>
          </w:p>
        </w:tc>
        <w:tc>
          <w:tcPr>
            <w:tcW w:w="2268" w:type="dxa"/>
            <w:shd w:val="clear" w:color="auto" w:fill="FFD162"/>
          </w:tcPr>
          <w:p w:rsidR="00CD29F2" w:rsidRPr="00DF6710" w:rsidP="00C51F6B">
            <w:pPr>
              <w:pStyle w:val="ESBodyText"/>
              <w:jc w:val="center"/>
              <w:rPr>
                <w:b/>
                <w:bCs/>
                <w:lang w:val="en-AU"/>
              </w:rPr>
            </w:pPr>
            <w:r w:rsidRPr="00DF6710">
              <w:rPr>
                <w:b/>
                <w:bCs/>
                <w:lang w:val="en-AU"/>
              </w:rPr>
              <w:t>Leadership</w:t>
            </w:r>
          </w:p>
        </w:tc>
        <w:tc>
          <w:tcPr>
            <w:tcW w:w="2248" w:type="dxa"/>
            <w:shd w:val="clear" w:color="auto" w:fill="58BFBC"/>
          </w:tcPr>
          <w:p w:rsidR="00CD29F2" w:rsidRPr="00DF6710" w:rsidP="00C51F6B">
            <w:pPr>
              <w:pStyle w:val="ESBodyText"/>
              <w:jc w:val="center"/>
              <w:rPr>
                <w:b/>
                <w:bCs/>
                <w:lang w:val="en-AU"/>
              </w:rPr>
            </w:pPr>
            <w:r w:rsidRPr="00DF6710">
              <w:rPr>
                <w:b/>
                <w:bCs/>
              </w:rPr>
              <w:t>Teaching and learning </w:t>
            </w:r>
          </w:p>
        </w:tc>
        <w:tc>
          <w:tcPr>
            <w:tcW w:w="2248" w:type="dxa"/>
            <w:shd w:val="clear" w:color="auto" w:fill="57B5E8"/>
          </w:tcPr>
          <w:p w:rsidR="00CD29F2" w:rsidRPr="00DF6710" w:rsidP="00C51F6B">
            <w:pPr>
              <w:pStyle w:val="ESBodyText"/>
              <w:jc w:val="center"/>
              <w:rPr>
                <w:b/>
                <w:bCs/>
                <w:lang w:val="en-AU"/>
              </w:rPr>
            </w:pPr>
            <w:r w:rsidRPr="00DF6710">
              <w:rPr>
                <w:b/>
                <w:bCs/>
              </w:rPr>
              <w:t>Assessment </w:t>
            </w:r>
          </w:p>
        </w:tc>
        <w:tc>
          <w:tcPr>
            <w:tcW w:w="2248" w:type="dxa"/>
            <w:shd w:val="clear" w:color="auto" w:fill="F7CDDB"/>
          </w:tcPr>
          <w:p w:rsidR="00CD29F2" w:rsidRPr="00DF6710" w:rsidP="00C51F6B">
            <w:pPr>
              <w:pStyle w:val="ESBodyText"/>
              <w:jc w:val="center"/>
              <w:rPr>
                <w:b/>
                <w:bCs/>
                <w:lang w:val="en-AU"/>
              </w:rPr>
            </w:pPr>
            <w:r w:rsidRPr="00DF6710">
              <w:rPr>
                <w:b/>
                <w:bCs/>
              </w:rPr>
              <w:t>Engagement</w:t>
            </w:r>
          </w:p>
        </w:tc>
        <w:tc>
          <w:tcPr>
            <w:tcW w:w="2328" w:type="dxa"/>
            <w:shd w:val="clear" w:color="auto" w:fill="D1ABD0"/>
          </w:tcPr>
          <w:p w:rsidR="00CD29F2" w:rsidRPr="00DF6710" w:rsidP="00C51F6B">
            <w:pPr>
              <w:pStyle w:val="ESBodyText"/>
              <w:jc w:val="center"/>
              <w:rPr>
                <w:b/>
                <w:bCs/>
                <w:lang w:val="en-AU"/>
              </w:rPr>
            </w:pPr>
            <w:r w:rsidRPr="00DF6710">
              <w:rPr>
                <w:b/>
                <w:bCs/>
              </w:rPr>
              <w:t>Support and resources </w:t>
            </w:r>
          </w:p>
        </w:tc>
      </w:tr>
      <w:tr w:rsidTr="00BF4A78">
        <w:tblPrEx>
          <w:tblW w:w="0" w:type="auto"/>
          <w:tblLook w:val="04A0"/>
        </w:tblPrEx>
        <w:tc>
          <w:tcPr>
            <w:tcW w:w="2122" w:type="dxa"/>
            <w:vMerge/>
          </w:tcPr>
          <w:p w:rsidR="00CD29F2" w:rsidP="004E7357">
            <w:pPr>
              <w:pStyle w:val="ESBodyText"/>
              <w:rPr>
                <w:lang w:val="en-AU"/>
              </w:rPr>
            </w:pPr>
          </w:p>
        </w:tc>
        <w:tc>
          <w:tcPr>
            <w:tcW w:w="226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c>
          <w:tcPr>
            <w:tcW w:w="224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c>
          <w:tcPr>
            <w:tcW w:w="224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c>
          <w:tcPr>
            <w:tcW w:w="224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c>
          <w:tcPr>
            <w:tcW w:w="232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r>
    </w:tbl>
    <w:p w:rsidR="00BF4A78" w:rsidP="004E7357">
      <w:pPr>
        <w:pStyle w:val="ESBodyText"/>
        <w:rPr>
          <w:lang w:val="en-AU"/>
        </w:rPr>
      </w:pPr>
    </w:p>
    <w:p/>
    <w:p>
      <w:pPr>
        <w:sectPr w:rsidSect="00CD29F2">
          <w:headerReference w:type="even" r:id="rId14"/>
          <w:headerReference w:type="default" r:id="rId15"/>
          <w:footerReference w:type="default" r:id="rId16"/>
          <w:headerReference w:type="first" r:id="rId17"/>
          <w:type w:val="continuous"/>
          <w:pgSz w:w="16838" w:h="11906" w:orient="landscape" w:code="9"/>
          <w:pgMar w:top="1304" w:right="2036" w:bottom="1240" w:left="1304" w:header="624" w:footer="532" w:gutter="0"/>
          <w:pgNumType w:start="2"/>
          <w:cols w:space="397"/>
          <w:docGrid w:linePitch="360"/>
        </w:sectPr>
      </w:pPr>
    </w:p>
    <w:p w:rsidR="00C703C5" w:rsidRPr="009B5728" w:rsidP="004E7357">
      <w:pPr>
        <w:pStyle w:val="ESBodyText"/>
        <w:rPr>
          <w:lang w:val="en-AU"/>
        </w:rPr>
      </w:pPr>
    </w:p>
    <w:tbl>
      <w:tblPr>
        <w:tblStyle w:val="TableGrid"/>
        <w:tblW w:w="0" w:type="auto"/>
        <w:tblLook w:val="04A0"/>
      </w:tblPr>
      <w:tblGrid>
        <w:gridCol w:w="6744"/>
        <w:gridCol w:w="6744"/>
      </w:tblGrid>
      <w:tr w:rsidTr="004E6386">
        <w:tblPrEx>
          <w:tblW w:w="0" w:type="auto"/>
          <w:tblLook w:val="04A0"/>
        </w:tblPrEx>
        <w:tc>
          <w:tcPr>
            <w:tcW w:w="6744" w:type="dxa"/>
            <w:shd w:val="clear" w:color="auto" w:fill="F2F2F2"/>
          </w:tcPr>
          <w:p w:rsidR="00BF4A78" w:rsidP="004E7357">
            <w:pPr>
              <w:pStyle w:val="ESBodyText"/>
              <w:rPr>
                <w:rFonts w:ascii="Arial" w:eastAsia="Arial" w:hAnsi="Arial" w:cs="Arial"/>
                <w:b/>
                <w:color w:val="000000"/>
                <w:sz w:val="20"/>
                <w:lang w:val="en-AU"/>
              </w:rPr>
            </w:pPr>
            <w:r>
              <w:rPr>
                <w:rStyle w:val="DefaultParagraphFont"/>
                <w:rFonts w:ascii="Arial" w:eastAsia="Arial" w:hAnsi="Arial" w:cs="Arial"/>
                <w:b/>
                <w:color w:val="000000"/>
                <w:sz w:val="20"/>
              </w:rPr>
              <w:t>Future planning for 2026</w:t>
            </w:r>
          </w:p>
        </w:tc>
        <w:tc>
          <w:tcPr>
            <w:tcW w:w="6744" w:type="dxa"/>
          </w:tcPr>
          <w:p w:rsidR="00BF4A78" w:rsidRPr="004E6386" w:rsidP="004E7357">
            <w:pPr>
              <w:pStyle w:val="ESBodyText"/>
              <w:rPr>
                <w:rFonts w:ascii="Arial" w:eastAsia="Arial" w:hAnsi="Arial" w:cs="Arial"/>
                <w:b w:val="0"/>
                <w:color w:val="000000" w:themeColor="text1"/>
                <w:sz w:val="18"/>
                <w:lang w:val="en-AU"/>
              </w:rPr>
            </w:pPr>
            <w:r w:rsidRPr="004E6386">
              <w:rPr>
                <w:rStyle w:val="DefaultParagraphFont"/>
                <w:rFonts w:ascii="Arial" w:eastAsia="Arial" w:hAnsi="Arial" w:cs="Arial"/>
                <w:b w:val="0"/>
                <w:color w:val="000000"/>
                <w:sz w:val="18"/>
              </w:rPr>
              <w:t xml:space="preserve">1. Implementing Consistent High-Quality Pedagogical PracticesIn 2025, staff deepened their understanding of the Victorian Teaching and Learning Model (VTLM) 2.0 through professional learning focused on Cognitive Load Theory, explicit teaching, and DET webinars. Collaborative planning documents were refined to align with VTLM 2.0, and consistency was strengthened through peer observations, coaching cycles via StepLab, and a whole-school mentoring model led by Learning Specialists. The school successfully embedded Mathematics and English 2.0 curriculums, ensuring clear curriculum alignment. In literacy, a structured, evidence-based approach incorporating systematic phonics and the Big 6 of Reading was implemented in F–2, supported by regular screening and targeted interventions to build strong foundational reading skills.Next year, we will continue our professional learning in relation to VTLM 2.0 with specific focus on scaffolding learning and modelling practice, and using formative assessment and feedback to monitor progress towards mastery and the 'supported application' element of teaching. We are in the initial stages of developing a coaching culture across the school so we will allocate time for scheduled peer observations, coaching observations with feedback and school improvement team member 'drop ins' to increase accountability to the learning and implementation.2. Creating Opportunities for Students to Have Agency and Influence in Their LearningThe school made strong progress in developing student agency by embedding visible learning practices and personalising learning experiences. Leadership training and consultant support refined planning processes, while learning intentions and success criteria were made explicit in classrooms through visual supports such as anchor charts and bump-it-up walls. Teachers increasingly used student data for differentiation and personalised conferencing, helping students articulate their learning goals, progress, and next steps. Learning walks and survey data reflected growing consistency and student confidence, showing that learners are increasingly active, informed, and empowered participants in their education. Next year we will continue to embed visible learning practices to further student engagement and ownership over their learning by focusing on feedback between teachers and students with students knowing how to recognised they' ve received feedback and act on it to achieve their goals. 3. Strengthening Staff Capability to Respond to the Learning and Wellbeing Needs of StudentsStaff capability was enhanced through the implementation of Positive Classroom Management Strategies (PCMS), promoting consistent routines, positive behaviour expectations, and relationship-focused practices. Coaching cycles, whole-school action plans, and the RTI framework ensured systematic monitoring of wellbeing, behaviour, and academic progress, leading to timely and coordinated support. Regular SSG meetings and comprehensive handovers strengthened communication and continuity for students. The Staff Wellbeing PLT supported teacher wellbeing, while the Resilience, Rights and Respectful Relationships (RRRR) program provided a consistent framework for building emotional literacy, respectful relationships, and resilience across the school community.Next year our learning to learn uinit (commencment of the year) will strengthen the PCMS practices 1-4 and so we can focvus porimarily on strategy 5) Active Supervision 6) Opportunities to respond 7) Activity sequence and choice and 8)Task difficulty. We will assist teachers to make connections between these PSMS strategies and their application of the teaching and learning elemnts of VTLM 2.0 and our goal for developing agentic students.Our purpose for honing in on these PCMS strategies is also to further extend our highly able students. </w:t>
            </w:r>
          </w:p>
        </w:tc>
      </w:tr>
    </w:tbl>
    <w:p>
      <w:pPr>
        <w:sectPr w:rsidSect="00CD29F2">
          <w:type w:val="continuous"/>
          <w:pgSz w:w="16838" w:h="11906" w:orient="landscape" w:code="9"/>
          <w:pgMar w:top="1304" w:right="2036" w:bottom="1240" w:left="1304" w:header="624" w:footer="532" w:gutter="0"/>
          <w:pgNumType w:start="2"/>
          <w:cols w:space="397"/>
          <w:docGrid w:linePitch="360"/>
        </w:sectPr>
      </w:pPr>
    </w:p>
    <w:p w:rsidR="00145C6B" w:rsidRPr="00041607" w:rsidP="005A1F97">
      <w:pPr>
        <w:pStyle w:val="ESIntroParagraph"/>
        <w:ind w:right="1168"/>
        <w:rPr>
          <w:b/>
          <w:color w:val="AF272F"/>
          <w:sz w:val="32"/>
          <w:szCs w:val="32"/>
          <w:lang w:val="en-AU"/>
        </w:rPr>
      </w:pPr>
      <w:r w:rsidRPr="00041607">
        <w:rPr>
          <w:b/>
          <w:color w:val="AF272F"/>
          <w:sz w:val="32"/>
          <w:szCs w:val="32"/>
          <w:lang w:val="en-AU"/>
        </w:rPr>
        <w:t xml:space="preserve">Select </w:t>
      </w:r>
      <w:r w:rsidRPr="00041607" w:rsidR="00FB15E2">
        <w:rPr>
          <w:b/>
          <w:color w:val="AF272F"/>
          <w:sz w:val="32"/>
          <w:szCs w:val="32"/>
          <w:lang w:val="en-AU"/>
        </w:rPr>
        <w:t>a</w:t>
      </w:r>
      <w:r w:rsidRPr="00041607">
        <w:rPr>
          <w:b/>
          <w:color w:val="AF272F"/>
          <w:sz w:val="32"/>
          <w:szCs w:val="32"/>
          <w:lang w:val="en-AU"/>
        </w:rPr>
        <w:t xml:space="preserve">nnual </w:t>
      </w:r>
      <w:r w:rsidRPr="00041607" w:rsidR="00FB15E2">
        <w:rPr>
          <w:b/>
          <w:color w:val="AF272F"/>
          <w:sz w:val="32"/>
          <w:szCs w:val="32"/>
          <w:lang w:val="en-AU"/>
        </w:rPr>
        <w:t>g</w:t>
      </w:r>
      <w:r w:rsidRPr="00041607">
        <w:rPr>
          <w:b/>
          <w:color w:val="AF272F"/>
          <w:sz w:val="32"/>
          <w:szCs w:val="32"/>
          <w:lang w:val="en-AU"/>
        </w:rPr>
        <w:t>oals and KIS</w:t>
      </w:r>
    </w:p>
    <w:p w:rsidR="00312C54" w:rsidRPr="00041607" w:rsidP="00DD0CC0">
      <w:pPr>
        <w:pStyle w:val="ESBodyText"/>
        <w:ind w:left="-284"/>
        <w:rPr>
          <w:lang w:val="en-AU"/>
        </w:rPr>
      </w:pPr>
    </w:p>
    <w:tbl>
      <w:tblPr>
        <w:tblStyle w:val="TableGrid"/>
        <w:tblW w:w="15735" w:type="dxa"/>
        <w:tblInd w:w="-147" w:type="dxa"/>
        <w:tblCellMar>
          <w:top w:w="115" w:type="dxa"/>
          <w:left w:w="115" w:type="dxa"/>
          <w:bottom w:w="115" w:type="dxa"/>
          <w:right w:w="115" w:type="dxa"/>
        </w:tblCellMar>
        <w:tblLook w:val="04A0"/>
      </w:tblPr>
      <w:tblGrid>
        <w:gridCol w:w="2747"/>
        <w:gridCol w:w="1677"/>
        <w:gridCol w:w="6039"/>
        <w:gridCol w:w="3713"/>
        <w:gridCol w:w="1559"/>
      </w:tblGrid>
      <w:tr w:rsidTr="00DD0CC0">
        <w:tblPrEx>
          <w:tblW w:w="15735" w:type="dxa"/>
          <w:tblInd w:w="-147" w:type="dxa"/>
          <w:tblCellMar>
            <w:top w:w="115" w:type="dxa"/>
            <w:left w:w="115" w:type="dxa"/>
            <w:bottom w:w="115" w:type="dxa"/>
            <w:right w:w="115" w:type="dxa"/>
          </w:tblCellMar>
          <w:tblLook w:val="04A0"/>
        </w:tblPrEx>
        <w:trPr>
          <w:trHeight w:val="783"/>
        </w:trPr>
        <w:tc>
          <w:tcPr>
            <w:tcW w:w="2747" w:type="dxa"/>
            <w:shd w:val="clear" w:color="auto" w:fill="D9D9D9" w:themeFill="background1" w:themeFillShade="D9"/>
          </w:tcPr>
          <w:p w:rsidR="00E043DF" w:rsidRPr="00E043DF" w:rsidP="00DD0CC0">
            <w:pPr>
              <w:pStyle w:val="Heading3"/>
              <w:spacing w:before="100" w:beforeAutospacing="1" w:after="0"/>
              <w:rPr>
                <w:szCs w:val="20"/>
                <w:lang w:val="en-AU"/>
              </w:rPr>
            </w:pPr>
            <w:r w:rsidRPr="00E043DF">
              <w:rPr>
                <w:szCs w:val="20"/>
                <w:lang w:val="en-AU"/>
              </w:rPr>
              <w:t>Four-year strategic goals</w:t>
            </w:r>
          </w:p>
        </w:tc>
        <w:tc>
          <w:tcPr>
            <w:tcW w:w="1677" w:type="dxa"/>
            <w:shd w:val="clear" w:color="auto" w:fill="D9D9D9" w:themeFill="background1" w:themeFillShade="D9"/>
          </w:tcPr>
          <w:p w:rsidR="00E043DF" w:rsidRPr="00E043DF" w:rsidP="00DD0CC0">
            <w:pPr>
              <w:pStyle w:val="Heading3"/>
              <w:spacing w:before="100" w:beforeAutospacing="1" w:after="0"/>
              <w:ind w:left="-20" w:firstLine="20"/>
              <w:rPr>
                <w:szCs w:val="20"/>
                <w:lang w:val="en-AU"/>
              </w:rPr>
            </w:pPr>
            <w:r w:rsidRPr="00E043DF">
              <w:rPr>
                <w:szCs w:val="20"/>
                <w:lang w:val="en-AU"/>
              </w:rPr>
              <w:t>Is this selected for focus this year?</w:t>
            </w:r>
          </w:p>
          <w:p w:rsidR="00E043DF" w:rsidRPr="00E043DF" w:rsidP="00DD0CC0">
            <w:pPr>
              <w:pStyle w:val="Heading3"/>
              <w:spacing w:before="100" w:beforeAutospacing="1" w:after="0"/>
              <w:ind w:left="-284"/>
              <w:rPr>
                <w:szCs w:val="20"/>
                <w:lang w:val="en-AU"/>
              </w:rPr>
            </w:pPr>
          </w:p>
        </w:tc>
        <w:tc>
          <w:tcPr>
            <w:tcW w:w="6039" w:type="dxa"/>
            <w:shd w:val="clear" w:color="auto" w:fill="D9D9D9" w:themeFill="background1" w:themeFillShade="D9"/>
          </w:tcPr>
          <w:p w:rsidR="00E043DF" w:rsidRPr="00E043DF" w:rsidP="00DD0CC0">
            <w:pPr>
              <w:spacing w:before="100" w:beforeAutospacing="1" w:after="0"/>
              <w:ind w:left="1"/>
              <w:rPr>
                <w:color w:val="000000" w:themeColor="text1"/>
                <w:sz w:val="20"/>
                <w:szCs w:val="20"/>
                <w:lang w:val="en-AU"/>
              </w:rPr>
            </w:pPr>
            <w:r w:rsidRPr="00E043DF">
              <w:rPr>
                <w:b/>
                <w:sz w:val="20"/>
                <w:szCs w:val="20"/>
                <w:lang w:val="en-AU"/>
              </w:rPr>
              <w:t>Four-year strategic targets</w:t>
            </w:r>
          </w:p>
        </w:tc>
        <w:tc>
          <w:tcPr>
            <w:tcW w:w="3713" w:type="dxa"/>
            <w:shd w:val="clear" w:color="auto" w:fill="D9D9D9"/>
          </w:tcPr>
          <w:p w:rsidR="00E043DF" w:rsidRPr="00E043DF" w:rsidP="00DD0CC0">
            <w:pPr>
              <w:spacing w:before="100" w:beforeAutospacing="1" w:after="0"/>
              <w:rPr>
                <w:b/>
                <w:sz w:val="20"/>
                <w:szCs w:val="20"/>
                <w:lang w:val="en-AU"/>
              </w:rPr>
            </w:pPr>
            <w:r w:rsidRPr="00E043DF">
              <w:rPr>
                <w:b/>
                <w:sz w:val="20"/>
                <w:szCs w:val="20"/>
                <w:lang w:val="en-AU"/>
              </w:rPr>
              <w:t>Key Improvement Strategies</w:t>
            </w:r>
          </w:p>
        </w:tc>
        <w:tc>
          <w:tcPr>
            <w:tcW w:w="1559" w:type="dxa"/>
            <w:shd w:val="clear" w:color="auto" w:fill="D9D9D9"/>
          </w:tcPr>
          <w:p w:rsidR="00E043DF" w:rsidRPr="00E043DF" w:rsidP="00DD0CC0">
            <w:pPr>
              <w:spacing w:before="100" w:beforeAutospacing="1" w:after="0"/>
              <w:rPr>
                <w:b/>
                <w:sz w:val="20"/>
                <w:szCs w:val="20"/>
                <w:lang w:val="en-AU"/>
              </w:rPr>
            </w:pPr>
            <w:r w:rsidRPr="00E043DF">
              <w:rPr>
                <w:b/>
                <w:sz w:val="20"/>
                <w:szCs w:val="20"/>
                <w:lang w:val="en-AU"/>
              </w:rPr>
              <w:t>Is this KIS selected for focus this year?</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val="restart"/>
          </w:tcPr>
          <w:p w:rsidR="00E043DF" w:rsidRPr="00B274BE" w:rsidP="00B274BE">
            <w:pPr>
              <w:pStyle w:val="ESBodyText"/>
              <w:spacing w:after="0"/>
              <w:rPr>
                <w:rFonts w:ascii="Arial" w:eastAsia="Arial" w:hAnsi="Arial" w:cs="Arial"/>
                <w:b w:val="0"/>
                <w:color w:val="auto"/>
                <w:sz w:val="22"/>
              </w:rPr>
            </w:pPr>
            <w:r w:rsidRPr="00B274BE">
              <w:rPr>
                <w:rStyle w:val="DefaultParagraphFont"/>
                <w:rFonts w:ascii="Arial" w:eastAsia="Arial" w:hAnsi="Arial" w:cs="Arial"/>
                <w:b w:val="0"/>
                <w:color w:val="auto"/>
                <w:sz w:val="22"/>
              </w:rPr>
              <w:t>To optimise student learning growth</w:t>
            </w:r>
          </w:p>
        </w:tc>
        <w:tc>
          <w:tcPr>
            <w:tcW w:w="1677" w:type="dxa"/>
            <w:vMerge w:val="restart"/>
          </w:tcPr>
          <w:p w:rsidR="00E043DF" w:rsidRPr="00041607" w:rsidP="00B274BE">
            <w:pPr>
              <w:pStyle w:val="ESBodyText"/>
              <w:spacing w:after="0"/>
              <w:ind w:left="-20"/>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the percentage of students Exceeding on the NAPLAN proficiency scale</w:t>
            </w:r>
          </w:p>
          <w:p w:rsidR="00E043DF" w:rsidRPr="00041607" w:rsidP="00B274BE">
            <w:pPr>
              <w:pStyle w:val="ESBodyText"/>
              <w:numPr>
                <w:ilvl w:val="0"/>
                <w:numId w:val="18"/>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3 Reading from 38% (2023) to 42%</w:t>
            </w:r>
          </w:p>
          <w:p w:rsidR="00E043DF" w:rsidRPr="00041607" w:rsidP="00B274BE">
            <w:pPr>
              <w:pStyle w:val="ESBodyText"/>
              <w:numPr>
                <w:ilvl w:val="0"/>
                <w:numId w:val="18"/>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5 Reading from 50% (2023) to 53%</w:t>
            </w:r>
          </w:p>
          <w:p w:rsidR="00E043DF" w:rsidRPr="00041607" w:rsidP="00B274BE">
            <w:pPr>
              <w:pStyle w:val="ESBodyText"/>
              <w:numPr>
                <w:ilvl w:val="0"/>
                <w:numId w:val="18"/>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3 Writing from 24% (2023) to 27%</w:t>
            </w:r>
          </w:p>
          <w:p w:rsidR="00E043DF" w:rsidRPr="00041607" w:rsidP="00B274BE">
            <w:pPr>
              <w:pStyle w:val="ESBodyText"/>
              <w:numPr>
                <w:ilvl w:val="0"/>
                <w:numId w:val="18"/>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5 Writing from 31% (2023) to 35%</w:t>
            </w:r>
          </w:p>
          <w:p w:rsidR="00E043DF" w:rsidRPr="00041607" w:rsidP="00B274BE">
            <w:pPr>
              <w:pStyle w:val="ESBodyText"/>
              <w:numPr>
                <w:ilvl w:val="0"/>
                <w:numId w:val="18"/>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3 Numeracy from 34% (2023) to 37%</w:t>
            </w:r>
          </w:p>
          <w:p w:rsidR="00E043DF" w:rsidRPr="00041607" w:rsidP="00B274BE">
            <w:pPr>
              <w:pStyle w:val="ESBodyText"/>
              <w:numPr>
                <w:ilvl w:val="0"/>
                <w:numId w:val="18"/>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5 Numeracy from 33% (2023) to 37%</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FF0C9"/>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Reinvigorate the school’s vision and values</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the percentage of Year F-6 students above age expected Victorian Curriculum levels (teacher judgement)</w:t>
            </w:r>
          </w:p>
          <w:p w:rsidR="00E043DF" w:rsidRPr="00041607" w:rsidP="00B274BE">
            <w:pPr>
              <w:pStyle w:val="ESBodyText"/>
              <w:numPr>
                <w:ilvl w:val="0"/>
                <w:numId w:val="19"/>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Reading and Viewing from 50% (2022, Semester 2) to 70%</w:t>
            </w:r>
          </w:p>
          <w:p w:rsidR="00E043DF" w:rsidRPr="00041607" w:rsidP="00B274BE">
            <w:pPr>
              <w:pStyle w:val="ESBodyText"/>
              <w:numPr>
                <w:ilvl w:val="0"/>
                <w:numId w:val="19"/>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Writing from 25% (2022, Semester 2) to 50% (To be confirmed)</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CCECEB"/>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Develop the capacity of leaders and teachers to implement consistent high quality pedagogical practices</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the percentage of Year F-6 students above age expected level in Number and Algebra (teacher judgement) from 47% (2022, Semester 2) to 60% (To be confirmed)</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D3EBF9"/>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Embed the consistent use of data and assessment to inform differentiation at student point of need</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positive responses to the School Staff Survey factor Staff trust in colleagues from  61% (2023) to 82%</w:t>
            </w:r>
          </w:p>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the percentage of students in Needs Additional Support on the NAPLAN proficiency scale  will reduce:</w:t>
            </w:r>
          </w:p>
          <w:p w:rsidR="00E043DF" w:rsidRPr="00041607" w:rsidP="00B274BE">
            <w:pPr>
              <w:pStyle w:val="ESBodyText"/>
              <w:numPr>
                <w:ilvl w:val="0"/>
                <w:numId w:val="20"/>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3 Reading from 2% to 1%</w:t>
            </w:r>
          </w:p>
          <w:p w:rsidR="00E043DF" w:rsidRPr="00041607" w:rsidP="00B274BE">
            <w:pPr>
              <w:pStyle w:val="ESBodyText"/>
              <w:numPr>
                <w:ilvl w:val="0"/>
                <w:numId w:val="20"/>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5 Reading from 1% to 0%</w:t>
            </w:r>
          </w:p>
          <w:p w:rsidR="00E043DF" w:rsidRPr="00041607" w:rsidP="00B274BE">
            <w:pPr>
              <w:pStyle w:val="ESBodyText"/>
              <w:numPr>
                <w:ilvl w:val="0"/>
                <w:numId w:val="20"/>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3 Writing from 0% to 0%</w:t>
            </w:r>
          </w:p>
          <w:p w:rsidR="00E043DF" w:rsidRPr="00041607" w:rsidP="00B274BE">
            <w:pPr>
              <w:pStyle w:val="ESBodyText"/>
              <w:numPr>
                <w:ilvl w:val="0"/>
                <w:numId w:val="20"/>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5 Writing from1% to 0%</w:t>
            </w:r>
          </w:p>
          <w:p w:rsidR="00E043DF" w:rsidRPr="00041607" w:rsidP="00B274BE">
            <w:pPr>
              <w:pStyle w:val="ESBodyText"/>
              <w:numPr>
                <w:ilvl w:val="0"/>
                <w:numId w:val="20"/>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3 Numeracy from 2% to 1%</w:t>
            </w:r>
          </w:p>
          <w:p w:rsidR="00E043DF" w:rsidRPr="00041607" w:rsidP="00B274BE">
            <w:pPr>
              <w:pStyle w:val="ESBodyText"/>
              <w:numPr>
                <w:ilvl w:val="0"/>
                <w:numId w:val="20"/>
              </w:numPr>
              <w:spacing w:after="0"/>
              <w:ind w:left="720" w:hanging="20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in Year 5 Numeracy from 3% to 2%</w:t>
            </w:r>
          </w:p>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val="restart"/>
          </w:tcPr>
          <w:p w:rsidR="00E043DF" w:rsidRPr="00B274BE" w:rsidP="00B274BE">
            <w:pPr>
              <w:pStyle w:val="ESBodyText"/>
              <w:spacing w:after="0"/>
              <w:rPr>
                <w:rFonts w:ascii="Arial" w:eastAsia="Arial" w:hAnsi="Arial" w:cs="Arial"/>
                <w:b w:val="0"/>
                <w:color w:val="auto"/>
                <w:sz w:val="22"/>
              </w:rPr>
            </w:pPr>
            <w:r w:rsidRPr="00B274BE">
              <w:rPr>
                <w:rStyle w:val="DefaultParagraphFont"/>
                <w:rFonts w:ascii="Arial" w:eastAsia="Arial" w:hAnsi="Arial" w:cs="Arial"/>
                <w:b w:val="0"/>
                <w:color w:val="auto"/>
                <w:sz w:val="22"/>
              </w:rPr>
              <w:t>To strengthen student voice and agency in their learning</w:t>
            </w:r>
          </w:p>
        </w:tc>
        <w:tc>
          <w:tcPr>
            <w:tcW w:w="1677" w:type="dxa"/>
            <w:vMerge w:val="restart"/>
          </w:tcPr>
          <w:p w:rsidR="00E043DF" w:rsidRPr="00041607" w:rsidP="00B274BE">
            <w:pPr>
              <w:pStyle w:val="ESBodyText"/>
              <w:spacing w:after="0"/>
              <w:ind w:left="-20"/>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the percentage of Year 4 to 6 students positive responses to the AtoSS factor in Stimulated Learning from 80% (2023) to 86%</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FF0C9"/>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Develop and embed an agreed school-wide understanding of student agency in learning and wellbeing.</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the percentage of Year 4 to 6 students positive responses to the AtoSS factor Student voice and agency from 74% (2023) to 80%</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DF1F5"/>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 xml:space="preserve">Create opportunities for students to have agency and influence in their learning. </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2027, increase the percentage of Parent Opinion Survey positive responses for the factor </w:t>
            </w:r>
            <w:r w:rsidRPr="00041607">
              <w:rPr>
                <w:rStyle w:val="DefaultParagraphFont"/>
                <w:rFonts w:ascii="Arial" w:eastAsia="Arial" w:hAnsi="Arial" w:cs="Arial"/>
                <w:b w:val="0"/>
                <w:i/>
                <w:iCs/>
                <w:color w:val="auto"/>
                <w:sz w:val="22"/>
              </w:rPr>
              <w:t>Stimulated learning environment</w:t>
            </w:r>
            <w:r w:rsidRPr="00041607">
              <w:rPr>
                <w:rStyle w:val="DefaultParagraphFont"/>
                <w:rFonts w:ascii="Arial" w:eastAsia="Arial" w:hAnsi="Arial" w:cs="Arial"/>
                <w:b w:val="0"/>
                <w:color w:val="auto"/>
                <w:sz w:val="22"/>
              </w:rPr>
              <w:t xml:space="preserve"> from 79% (2023) to 85%</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EDDFED"/>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Strengthen staff capability to respond to the learning and wellbeing needs of students.</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 xml:space="preserve">By 2027, increase the percentage of School Staff Survey positive responses for the factor </w:t>
            </w:r>
            <w:r w:rsidRPr="00041607">
              <w:rPr>
                <w:rStyle w:val="DefaultParagraphFont"/>
                <w:rFonts w:ascii="Arial" w:eastAsia="Arial" w:hAnsi="Arial" w:cs="Arial"/>
                <w:b w:val="0"/>
                <w:i/>
                <w:iCs/>
                <w:color w:val="auto"/>
                <w:sz w:val="22"/>
              </w:rPr>
              <w:t>Use student feedback to improve practice</w:t>
            </w:r>
            <w:r w:rsidRPr="00041607">
              <w:rPr>
                <w:rStyle w:val="DefaultParagraphFont"/>
                <w:rFonts w:ascii="Arial" w:eastAsia="Arial" w:hAnsi="Arial" w:cs="Arial"/>
                <w:b w:val="0"/>
                <w:color w:val="auto"/>
                <w:sz w:val="22"/>
              </w:rPr>
              <w:t xml:space="preserve"> from 79% (2023) to 85%</w:t>
            </w:r>
          </w:p>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 xml:space="preserve">By 2027, maintain the percentage of School Staff Survey positive responses for the factor </w:t>
            </w:r>
            <w:r w:rsidRPr="00041607">
              <w:rPr>
                <w:rStyle w:val="DefaultParagraphFont"/>
                <w:rFonts w:ascii="Arial" w:eastAsia="Arial" w:hAnsi="Arial" w:cs="Arial"/>
                <w:b w:val="0"/>
                <w:i/>
                <w:iCs/>
                <w:color w:val="auto"/>
                <w:sz w:val="22"/>
              </w:rPr>
              <w:t>Promote student ownership of learning</w:t>
            </w:r>
            <w:r w:rsidRPr="00041607">
              <w:rPr>
                <w:rStyle w:val="DefaultParagraphFont"/>
                <w:rFonts w:ascii="Arial" w:eastAsia="Arial" w:hAnsi="Arial" w:cs="Arial"/>
                <w:b w:val="0"/>
                <w:color w:val="auto"/>
                <w:sz w:val="22"/>
              </w:rPr>
              <w:t xml:space="preserve"> at or above 86% (2023)</w:t>
            </w:r>
          </w:p>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bl>
    <w:p w:rsidR="003E4341" w:rsidRPr="00041607" w:rsidP="00C365AB">
      <w:pPr>
        <w:pStyle w:val="ESBodyText"/>
        <w:spacing w:after="0"/>
        <w:rPr>
          <w:lang w:val="en-AU"/>
        </w:rPr>
      </w:pPr>
    </w:p>
    <w:p>
      <w:pPr>
        <w:sectPr w:rsidSect="00813499">
          <w:pgSz w:w="16838" w:h="11906" w:orient="landscape" w:code="9"/>
          <w:pgMar w:top="720" w:right="720" w:bottom="720" w:left="720" w:header="624" w:footer="532" w:gutter="0"/>
          <w:pgNumType w:start="2"/>
          <w:cols w:space="397"/>
          <w:docGrid w:linePitch="360"/>
        </w:sectPr>
      </w:pPr>
    </w:p>
    <w:p w:rsidR="006307C3" w:rsidRPr="002F40EA" w:rsidP="006C7A56">
      <w:pPr>
        <w:ind w:right="-542"/>
        <w:rPr>
          <w:b/>
          <w:color w:val="AF272F"/>
          <w:sz w:val="32"/>
          <w:szCs w:val="32"/>
          <w:lang w:val="en-AU"/>
        </w:rPr>
      </w:pPr>
      <w:r w:rsidRPr="002F40EA">
        <w:rPr>
          <w:b/>
          <w:color w:val="AF272F"/>
          <w:sz w:val="32"/>
          <w:szCs w:val="32"/>
          <w:lang w:val="en-AU"/>
        </w:rPr>
        <w:t xml:space="preserve">Define </w:t>
      </w:r>
      <w:r w:rsidR="00F0634E">
        <w:rPr>
          <w:b/>
          <w:color w:val="AF272F"/>
          <w:sz w:val="32"/>
          <w:szCs w:val="32"/>
        </w:rPr>
        <w:t>a</w:t>
      </w:r>
      <w:r w:rsidRPr="00700D80" w:rsidR="00F0634E">
        <w:rPr>
          <w:b/>
          <w:color w:val="AF272F"/>
          <w:sz w:val="32"/>
          <w:szCs w:val="32"/>
        </w:rPr>
        <w:t>ctions, evidence of change and tasks</w:t>
      </w:r>
    </w:p>
    <w:p w:rsidR="005539D1" w:rsidRPr="002F40EA" w:rsidP="00C259B6">
      <w:pPr>
        <w:pStyle w:val="ESIntroParagraph"/>
        <w:ind w:left="-567" w:right="4330" w:firstLine="567"/>
        <w:rPr>
          <w:color w:val="AF272F"/>
          <w:sz w:val="20"/>
          <w:szCs w:val="20"/>
          <w:lang w:val="en-AU"/>
        </w:rPr>
      </w:pPr>
    </w:p>
    <w:tbl>
      <w:tblPr>
        <w:tblStyle w:val="TableGrid"/>
        <w:tblW w:w="15021" w:type="dxa"/>
        <w:tblCellMar>
          <w:top w:w="115" w:type="dxa"/>
          <w:left w:w="115" w:type="dxa"/>
          <w:bottom w:w="115" w:type="dxa"/>
          <w:right w:w="115" w:type="dxa"/>
        </w:tblCellMar>
        <w:tblLook w:val="04A0"/>
      </w:tblPr>
      <w:tblGrid>
        <w:gridCol w:w="3119"/>
        <w:gridCol w:w="6799"/>
        <w:gridCol w:w="5103"/>
      </w:tblGrid>
      <w:tr w:rsidTr="00F0634E">
        <w:tblPrEx>
          <w:tblW w:w="15021"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1</w:t>
            </w:r>
          </w:p>
        </w:tc>
        <w:tc>
          <w:tcPr>
            <w:tcW w:w="11902" w:type="dxa"/>
            <w:gridSpan w:val="2"/>
            <w:shd w:val="clear" w:color="auto" w:fill="D9D9D9" w:themeFill="background1" w:themeFillShade="D9"/>
          </w:tcPr>
          <w:p w:rsidR="00973DEE" w:rsidRPr="0033147D" w:rsidP="00FE3D5C">
            <w:pPr>
              <w:pStyle w:val="ESBodyText"/>
              <w:spacing w:after="0"/>
              <w:rPr>
                <w:rFonts w:ascii="Arial" w:eastAsia="Arial" w:hAnsi="Arial" w:cs="Arial"/>
                <w:b w:val="0"/>
                <w:color w:val="auto"/>
                <w:sz w:val="22"/>
                <w:lang w:val="en-AU"/>
              </w:rPr>
            </w:pPr>
            <w:r w:rsidRPr="0033147D">
              <w:rPr>
                <w:rStyle w:val="DefaultParagraphFont"/>
                <w:rFonts w:ascii="Arial" w:eastAsia="Arial" w:hAnsi="Arial" w:cs="Arial"/>
                <w:b w:val="0"/>
                <w:color w:val="auto"/>
                <w:sz w:val="22"/>
              </w:rPr>
              <w:t>To optimise student learning growth</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58BFBC"/>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1.b</w:t>
            </w:r>
          </w:p>
        </w:tc>
        <w:tc>
          <w:tcPr>
            <w:tcW w:w="11902" w:type="dxa"/>
            <w:gridSpan w:val="2"/>
            <w:shd w:val="clear" w:color="auto" w:fill="58BFBC"/>
            <w:noWrap w:val="0"/>
          </w:tcPr>
          <w:p w:rsidR="00973DEE" w:rsidRPr="0033147D" w:rsidP="00FE3D5C">
            <w:pPr>
              <w:pStyle w:val="ESBodyText"/>
              <w:spacing w:after="0"/>
              <w:rPr>
                <w:b/>
                <w:bCs/>
                <w:lang w:val="en-AU"/>
              </w:rPr>
            </w:pPr>
            <w:r>
              <w:rPr>
                <w:rFonts w:ascii="Arial" w:eastAsia="Arial" w:hAnsi="Arial" w:cs="Arial"/>
                <w:sz w:val="22"/>
              </w:rPr>
              <w:t>Develop the capacity of leaders and teachers to implement consistent high quality pedagogical practices</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Strengthen teacher's capacity to scaffold learning, use effective questioning to check for understanding and misconceptions, and respond to meet students at their point of need.</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Coaching conversations provide evidence of teachers increasing knowledge and understanding of effective questioning.</w:t>
              <w:br/>
              <w:t>Classroom observation provides evidence of teachers' consistent understanding and application of questioning techniques and responsive teaching practice across the school.</w:t>
              <w:br/>
              <w:t>Lesson plans show evidence that teachers discuss pause points for opportunities to respond and develop hinge questions.</w:t>
              <w:br/>
              <w:t xml:space="preserve">Teaching focus groups provide students with feedback that supports their learning and guides next steps. </w:t>
              <w:br/>
              <w:t>Students act on feedback indicating engagement, success and ownership of their learning.</w:t>
              <w:br/>
              <w:t xml:space="preserve">Students can articulate to peers, teachers and their parents what they are learning (learning intention), how they are going and show evidence of progress (using success criteria), what they'll work on next (learning goals) and which learner dispositions (learner profiles) they are displaying to support their learning. </w:t>
              <w:br/>
              <w:br/>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Explore and Prepare - Leaders audit teaching practices related to scaffolding learning, questioning, checking for understanding and how teachers respond to student needs.</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Prepare and Deliver - Review guidance and research to design and deliver professional learning on identified responsive teaching practices within the VTLM 2.0</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Prepare and Deliver - Build and implement an instructional model to provide teachers with timely and targeted feedback that supports and monitors their professional practice.</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Deliver - Follow each PL with modelling, observations and coaching of responsive teaching and effective questioning. Leaders/coaches attend collaborative planning sessions to support teachers in planning for pause points for opportunities to respond and to develop hinge questions.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Deliver - Hold regular data conversations with teachers to track and monitor student progress and to provide and seek feedback.</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Team leader(s)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Deliver - Develop and revise the school instructional model and curriculum planning documentation to reflect VTLM 2.0.</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57B5E8"/>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1.c</w:t>
            </w:r>
          </w:p>
        </w:tc>
        <w:tc>
          <w:tcPr>
            <w:tcW w:w="11902" w:type="dxa"/>
            <w:gridSpan w:val="2"/>
            <w:shd w:val="clear" w:color="auto" w:fill="57B5E8"/>
            <w:noWrap w:val="0"/>
          </w:tcPr>
          <w:p w:rsidR="00973DEE" w:rsidRPr="0033147D" w:rsidP="00FE3D5C">
            <w:pPr>
              <w:pStyle w:val="ESBodyText"/>
              <w:spacing w:after="0"/>
              <w:rPr>
                <w:b/>
                <w:bCs/>
                <w:lang w:val="en-AU"/>
              </w:rPr>
            </w:pPr>
            <w:r>
              <w:rPr>
                <w:rFonts w:ascii="Arial" w:eastAsia="Arial" w:hAnsi="Arial" w:cs="Arial"/>
                <w:sz w:val="22"/>
              </w:rPr>
              <w:t>Embed the consistent use of data and assessment to inform differentiation at student point of need</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Strengthen teacher capacity to connect assessment evidence directly to instructional planning to provide multi tiered systems of support.</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Lesson plans show adjustments resulting from data discussions throughout lesson stages (tuning in, explicit teaching and engaged learning)</w:t>
              <w:br/>
              <w:t>Coaching observation or learning walks capturing students working at differentiated challenge levels shown through differentiated LISC, worked examples and learning engagements.</w:t>
              <w:br/>
              <w:t>Student focus groups and data sets reflect positive responses to questions about challenge level.</w:t>
              <w:br/>
              <w:t>Assessment methods are carefully selected to identify what each student knows and can do, ensuring they are fit for purpose and accessible to all learners, including those with disabilities.</w:t>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 xml:space="preserve"> Explore and Prepare- Review data meeting practices to identify current enablers and barriers to data informed planning.</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Prepare and Deliver- Refine data meeting process to ensure data meeting include consistent reference to what data is being collected (assessment of, for and as learning) why and how the data will influence planning to meet the needs of the range of student abilities.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 xml:space="preserve">Deliver- Data meeting notes are reviewed throughout planning meeting to respond to student learning needs and address a range of data sets in each meeting to ensure all subject areas are regularly monitored so SSP and AIP tragets are met. </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 xml:space="preserve">Deliver- Continue visible learning practices with an emphasis on feedback (student to teacher: teacher to students) and developing assessment capable learners (that is; students knowing what they're learning, where to next and what to do to get there: eg. utilising visible learning walls). </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2</w:t>
            </w:r>
          </w:p>
        </w:tc>
        <w:tc>
          <w:tcPr>
            <w:tcW w:w="11902" w:type="dxa"/>
            <w:gridSpan w:val="2"/>
            <w:shd w:val="clear" w:color="auto" w:fill="D9D9D9" w:themeFill="background1" w:themeFillShade="D9"/>
          </w:tcPr>
          <w:p w:rsidR="00973DEE" w:rsidRPr="0033147D" w:rsidP="00FE3D5C">
            <w:pPr>
              <w:pStyle w:val="ESBodyText"/>
              <w:spacing w:after="0"/>
              <w:rPr>
                <w:rFonts w:ascii="Arial" w:eastAsia="Arial" w:hAnsi="Arial" w:cs="Arial"/>
                <w:b w:val="0"/>
                <w:color w:val="auto"/>
                <w:sz w:val="22"/>
                <w:lang w:val="en-AU"/>
              </w:rPr>
            </w:pPr>
            <w:r w:rsidRPr="0033147D">
              <w:rPr>
                <w:rStyle w:val="DefaultParagraphFont"/>
                <w:rFonts w:ascii="Arial" w:eastAsia="Arial" w:hAnsi="Arial" w:cs="Arial"/>
                <w:b w:val="0"/>
                <w:color w:val="auto"/>
                <w:sz w:val="22"/>
              </w:rPr>
              <w:t>To strengthen student voice and agency in their learning</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F7CDDB"/>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2.b</w:t>
            </w:r>
          </w:p>
        </w:tc>
        <w:tc>
          <w:tcPr>
            <w:tcW w:w="11902" w:type="dxa"/>
            <w:gridSpan w:val="2"/>
            <w:shd w:val="clear" w:color="auto" w:fill="F7CDDB"/>
            <w:noWrap w:val="0"/>
          </w:tcPr>
          <w:p w:rsidR="00973DEE" w:rsidRPr="0033147D" w:rsidP="00FE3D5C">
            <w:pPr>
              <w:pStyle w:val="ESBodyText"/>
              <w:spacing w:after="0"/>
              <w:rPr>
                <w:b/>
                <w:bCs/>
                <w:lang w:val="en-AU"/>
              </w:rPr>
            </w:pPr>
            <w:r>
              <w:rPr>
                <w:rFonts w:ascii="Arial" w:eastAsia="Arial" w:hAnsi="Arial" w:cs="Arial"/>
                <w:sz w:val="22"/>
              </w:rPr>
              <w:t xml:space="preserve">Create opportunities for students to have agency and influence in their learning. </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Embed student agency by making learning visible, engaging, and personalised, empowering students to make choices, set goals, and reflect on their progress.</w:t>
              <w:br/>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Visible Learning Survey Data evidences that students can clearly articulate what they are learning, how they are going, what their next steps are and which learner profile is helping them be successful with their learning.</w:t>
              <w:br/>
              <w:t>Visible Learning Survey Data evidences that students can give examples of recent feedback from the teacher across curriculum areas.</w:t>
              <w:br/>
              <w:t>Visible Learning Wall displays worked examples and anchor chart relevant to current learning in literacy, numeracy and units of inquiry and are interactive (VTLM 2.0 Explicit Teaching - Explicit Explanation and Modelling and Scaffloded Practice).</w:t>
              <w:br/>
              <w:t>Observations and learning walks show students actively participating in tasks for sustained periods, demonstrating independence and ownership of learning.</w:t>
              <w:br/>
              <w:t>Students are able to articulate their personal learning goals and explain strategies to achieve them and reflect on their progress.</w:t>
              <w:br/>
              <w:t>Student Attitudes to School Survey shows growth in domains related to student agency, motivation, and learning confidence.</w:t>
              <w:br/>
              <w:t>Planning documentation and peer observations show explicit inclusion of student choice, reflection opportunities, and co-construction of learning programs.</w:t>
              <w:br/>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Explore and prepare - Leaders audit current visible learning practices and administer visible learning survey to determine short term goals and a responsive implementation plan for staff learning.</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Prepare and Deliver - Review guidance and research to design and deliver professional learning on identified areas of need related to visible learning strategies: Visible Learning Walls (worked examples), goal setting and feedback. Review HITS: 1. Setting Goals, 4. Worked examples 8. Feedback   9. Metacognitive Strategies</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Prepare and Deliver - Build and implement an instructional coaching model to provide teachers with timely and targeted feedback that supports and monitors visible learning practice implementation.</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Deliver - Follow each PL with modelling, observations and coaching of visible learning strategies to support implementation of goal setting and feedback.</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Deliver - Hold regular discussions with teachers about strategies they are using to implement the HITS: goal setting and feedback.</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Deliver - Review planning documentation and classroom evidence to ensure student choice, reflection opportunities, and co-construction of learning are embedded.</w:t>
              <w:br/>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D1ABD0"/>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2.c</w:t>
            </w:r>
          </w:p>
        </w:tc>
        <w:tc>
          <w:tcPr>
            <w:tcW w:w="11902" w:type="dxa"/>
            <w:gridSpan w:val="2"/>
            <w:shd w:val="clear" w:color="auto" w:fill="D1ABD0"/>
            <w:noWrap w:val="0"/>
          </w:tcPr>
          <w:p w:rsidR="00973DEE" w:rsidRPr="0033147D" w:rsidP="00FE3D5C">
            <w:pPr>
              <w:pStyle w:val="ESBodyText"/>
              <w:spacing w:after="0"/>
              <w:rPr>
                <w:b/>
                <w:bCs/>
                <w:lang w:val="en-AU"/>
              </w:rPr>
            </w:pPr>
            <w:r>
              <w:rPr>
                <w:rFonts w:ascii="Arial" w:eastAsia="Arial" w:hAnsi="Arial" w:cs="Arial"/>
                <w:sz w:val="22"/>
              </w:rPr>
              <w:t>Strengthen staff capability to respond to the learning and wellbeing needs of students.</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Develop a collaborative whole schole Multi-Tiered System of Support based on shared inclusive mindset, consistent processes and quality resources.</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 xml:space="preserve">The school’s documentation provides evidence of a tiered continuum of instruction, (extension and intervention) to meet the diverse needs of all learners. </w:t>
              <w:br/>
              <w:t>Data protocols illustrate how teachers engage in consistent, evidence-based decision-making when identifying, monitoring, and supporting students of all abilities.</w:t>
              <w:br/>
              <w:t>Staff meeting minutes demonstrate that dedicated time is prioritised for professional reflection and collaboration, enabling teachers to strengthen inclusive practices and maintain a shared mindset that values diversity. Informal corridor dialogue has also evolved, moving away from a deficit-based perspective toward one that genuinely embraces diversity and fosters trust among colleagues.</w:t>
              <w:br/>
              <w:t xml:space="preserve">The school’s organisational design and programs reflects a responsive and cohesive approach to Multi-Tiered Systems of Supports (MTSS). </w:t>
              <w:br/>
              <w:t>Universal screening processes provide clear evidence that students are accurately identified early, allowing for timely and effective intervention.</w:t>
              <w:br/>
              <w:t>Feedback gathered from staff focus groups indicates growing confidence in planning for and managing students with complex learning profiles, supported by strong systems and collaborative practice. Likewise, input from parents and students affirms that the school’s inclusive approach is making a meaningful difference, ensuring that all students are seen, supported, and set up for success.</w:t>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 xml:space="preserve">Teachers implement a strong Tier 1 learning, behaviour and wellbeing program, recorded in planning documents and practiced with fidelity.  </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Cultural safety: review program of inquiry to integrate Aboriginal and Torres Strait islander perspectives and incorporate 8 ways of learning.</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Education support</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Mental health and wellbeing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Monitor program effectiveness- Create staff survey to evaluate change in practice and confidence to support students with complex needs. Create a student survey to use pre and post program implementation and adjustments.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Mental health and wellbeing leader</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Document school approach to students in Tier 2 and 3 including use of data for targeted small-group and individualised interventions and monitoring progress to track growth and adjust strategies.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Mental health and wellbeing leader</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Provide all staff with professional learning experiences that promote an inclusive mindset. (What is and is not inclusive practice and language?).</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Mental health and wellbeing leader</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Develop clear referral pathways for students requiring further assessment and intervention; and build the capacity of school staff, to identify and support students with concerns.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Mental health and wellbeing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 xml:space="preserve">Research wellbeing programs to address and identified social emotional concerns with students. </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Mental health and wellbeing leader</w:t>
            </w:r>
          </w:p>
        </w:tc>
      </w:tr>
    </w:tbl>
    <w:p w:rsidR="006307C3" w:rsidRPr="002F40EA" w:rsidP="006C7A56">
      <w:pPr>
        <w:pStyle w:val="ESBodyText"/>
        <w:rPr>
          <w:lang w:val="en-AU"/>
        </w:rPr>
      </w:pPr>
    </w:p>
    <w:p/>
    <w:p/>
    <w:sectPr w:rsidSect="00E36291">
      <w:headerReference w:type="even" r:id="rId18"/>
      <w:headerReference w:type="default" r:id="rId19"/>
      <w:footerReference w:type="default" r:id="rId20"/>
      <w:headerReference w:type="first" r:id="rId21"/>
      <w:pgSz w:w="16838" w:h="11906" w:orient="landscape" w:code="9"/>
      <w:pgMar w:top="1304" w:right="2036" w:bottom="1240" w:left="810" w:header="624" w:footer="532" w:gutter="0"/>
      <w:pgNumType w:start="2"/>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Murrumbeena Primary School (3449) - 2026 - AIP</w:t>
    </w:r>
    <w:r w:rsidRPr="00793BFC" w:rsidR="000C104E">
      <w:rPr>
        <w:noProof/>
        <w:sz w:val="15"/>
        <w:szCs w:val="15"/>
        <w:lang w:val="en-AU" w:eastAsia="en-AU"/>
      </w:rPr>
      <w:drawing>
        <wp:anchor distT="0" distB="0" distL="114300" distR="114300" simplePos="0" relativeHeight="251667456"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B33DA4">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15C4" w:rsidRPr="00B4442D" w:rsidP="00DD6247">
    <w:pPr>
      <w:pStyle w:val="ESSubheading1"/>
      <w:ind w:firstLine="567"/>
      <w:rPr>
        <w:sz w:val="15"/>
        <w:szCs w:val="15"/>
      </w:rPr>
    </w:pPr>
    <w:r w:rsidRPr="00B4442D">
      <w:rPr>
        <w:noProof/>
        <w:sz w:val="15"/>
        <w:szCs w:val="15"/>
      </w:rPr>
      <w:t>Murrumbeena Primary School (3449) - 2026 - AIP</w:t>
    </w:r>
    <w:r w:rsidRPr="00B4442D" w:rsidR="000C104E">
      <w:rPr>
        <w:noProof/>
        <w:sz w:val="15"/>
        <w:szCs w:val="15"/>
        <w:lang w:val="en-AU" w:eastAsia="en-AU"/>
      </w:rPr>
      <w:drawing>
        <wp:anchor distT="0" distB="0" distL="114300" distR="114300" simplePos="0" relativeHeight="25167360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057219500"/>
      <w:docPartObj>
        <w:docPartGallery w:val="Page Numbers (Bottom of Page)"/>
        <w:docPartUnique/>
      </w:docPartObj>
    </w:sdtPr>
    <w:sdtEndPr>
      <w:rPr>
        <w:noProof/>
      </w:rPr>
    </w:sdtEndPr>
    <w:sdtContent>
      <w:p w:rsidR="00D015C4"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75B9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006534" w:rsidP="0091722C">
    <w:pPr>
      <w:pStyle w:val="ESSubheading1"/>
      <w:ind w:firstLine="567"/>
    </w:pPr>
    <w:r w:rsidRPr="0091722C">
      <w:rPr>
        <w:noProof/>
        <w:sz w:val="15"/>
        <w:szCs w:val="15"/>
      </w:rPr>
      <w:t>Murrumbeena Primary School (3449) - 2026 - AIP</w:t>
    </w:r>
    <w:r w:rsidRPr="000C104E" w:rsidR="000C104E">
      <w:rPr>
        <w:noProof/>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657928164"/>
      <w:docPartObj>
        <w:docPartGallery w:val="Page Numbers (Bottom of Page)"/>
        <w:docPartUnique/>
      </w:docPartObj>
    </w:sdtPr>
    <w:sdtEndPr>
      <w:rPr>
        <w:noProof/>
      </w:rPr>
    </w:sdtEndPr>
    <w:sdtContent>
      <w:p w:rsidR="00843995"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0344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lang w:val="en-AU" w:eastAsia="en-AU"/>
      </w:rPr>
      <w:drawing>
        <wp:anchor distT="0" distB="0" distL="114300" distR="114300" simplePos="0" relativeHeight="25166438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299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848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sidRPr="000C104E">
      <w:rPr>
        <w:noProof/>
        <w:lang w:val="en-AU" w:eastAsia="en-AU"/>
      </w:rPr>
      <w:drawing>
        <wp:anchor distT="0" distB="0" distL="114300" distR="114300" simplePos="0" relativeHeight="251671552"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29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345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257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3E29B5" w:rsidP="008766A4">
    <w:r w:rsidRPr="000C104E">
      <w:rPr>
        <w:noProof/>
        <w:lang w:val="en-AU" w:eastAsia="en-AU"/>
      </w:rPr>
      <w:drawing>
        <wp:anchor distT="0" distB="0" distL="114300" distR="114300" simplePos="0" relativeHeight="25167462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34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216CCA-54A4-4E61-8ED1-8F589480FEB1}">
  <ds:schemaRefs>
    <ds:schemaRef ds:uri="http://schemas.openxmlformats.org/officeDocument/2006/bibliography"/>
  </ds:schemaRefs>
</ds:datastoreItem>
</file>

<file path=customXml/itemProps5.xml><?xml version="1.0" encoding="utf-8"?>
<ds:datastoreItem xmlns:ds="http://schemas.openxmlformats.org/officeDocument/2006/customXml" ds:itemID="{A78D826A-78A9-4A6C-8034-99F2E8A12F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97</cp:revision>
  <dcterms:created xsi:type="dcterms:W3CDTF">2017-09-11T05:00:00Z</dcterms:created>
  <dcterms:modified xsi:type="dcterms:W3CDTF">2024-01-31T05:59:00Z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