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76" w:lineRule="auto"/>
        <w:jc w:val="center"/>
        <w:rPr>
          <w:rFonts w:ascii="Times New Roman" w:cs="Times New Roman" w:eastAsia="Times New Roman" w:hAnsi="Times New Roman"/>
          <w:b w:val="1"/>
          <w:color w:val="c00000"/>
          <w:sz w:val="32"/>
          <w:szCs w:val="32"/>
        </w:rPr>
      </w:pPr>
      <w:r w:rsidDel="00000000" w:rsidR="00000000" w:rsidRPr="00000000">
        <w:rPr>
          <w:rFonts w:ascii="Times New Roman" w:cs="Times New Roman" w:eastAsia="Times New Roman" w:hAnsi="Times New Roman"/>
          <w:b w:val="1"/>
          <w:color w:val="c00000"/>
          <w:sz w:val="32"/>
          <w:szCs w:val="32"/>
          <w:rtl w:val="0"/>
        </w:rPr>
        <w:t xml:space="preserve">Murrumbeena Primary School Policy </w:t>
      </w:r>
      <w:r w:rsidDel="00000000" w:rsidR="00000000" w:rsidRPr="00000000">
        <w:rPr>
          <w:rFonts w:ascii="Times New Roman" w:cs="Times New Roman" w:eastAsia="Times New Roman" w:hAnsi="Times New Roman"/>
          <w:b w:val="1"/>
          <w:color w:val="c00000"/>
          <w:sz w:val="32"/>
          <w:szCs w:val="32"/>
        </w:rPr>
        <w:drawing>
          <wp:anchor allowOverlap="1" behindDoc="0" distB="0" distT="0" distL="114300" distR="114300" hidden="0" layoutInCell="1" locked="0" relativeHeight="0" simplePos="0">
            <wp:simplePos x="0" y="0"/>
            <wp:positionH relativeFrom="leftMargin">
              <wp:posOffset>5609058</wp:posOffset>
            </wp:positionH>
            <wp:positionV relativeFrom="page">
              <wp:posOffset>1099138</wp:posOffset>
            </wp:positionV>
            <wp:extent cx="1076325" cy="111442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22206" l="0" r="0" t="0"/>
                    <a:stretch>
                      <a:fillRect/>
                    </a:stretch>
                  </pic:blipFill>
                  <pic:spPr>
                    <a:xfrm>
                      <a:off x="0" y="0"/>
                      <a:ext cx="1076325" cy="111442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Style w:val="Heading1"/>
        <w:keepNext w:val="0"/>
        <w:keepLines w:val="0"/>
        <w:shd w:fill="ffffff" w:val="clear"/>
        <w:spacing w:after="0" w:before="0" w:line="256" w:lineRule="auto"/>
        <w:jc w:val="center"/>
        <w:rPr>
          <w:rFonts w:ascii="Times New Roman" w:cs="Times New Roman" w:eastAsia="Times New Roman" w:hAnsi="Times New Roman"/>
          <w:b w:val="1"/>
          <w:sz w:val="28"/>
          <w:szCs w:val="28"/>
        </w:rPr>
      </w:pPr>
      <w:bookmarkStart w:colFirst="0" w:colLast="0" w:name="_gjdgxs" w:id="0"/>
      <w:bookmarkEnd w:id="0"/>
      <w:r w:rsidDel="00000000" w:rsidR="00000000" w:rsidRPr="00000000">
        <w:rPr>
          <w:rtl w:val="0"/>
        </w:rPr>
      </w:r>
    </w:p>
    <w:p w:rsidR="00000000" w:rsidDel="00000000" w:rsidP="00000000" w:rsidRDefault="00000000" w:rsidRPr="00000000" w14:paraId="00000003">
      <w:pPr>
        <w:pStyle w:val="Heading1"/>
        <w:keepNext w:val="0"/>
        <w:keepLines w:val="0"/>
        <w:shd w:fill="ffffff" w:val="clear"/>
        <w:spacing w:after="0" w:before="0" w:line="256" w:lineRule="auto"/>
        <w:jc w:val="center"/>
        <w:rPr>
          <w:rFonts w:ascii="Times New Roman" w:cs="Times New Roman" w:eastAsia="Times New Roman" w:hAnsi="Times New Roman"/>
          <w:b w:val="1"/>
          <w:sz w:val="28"/>
          <w:szCs w:val="28"/>
        </w:rPr>
      </w:pPr>
      <w:bookmarkStart w:colFirst="0" w:colLast="0" w:name="_30j0zll" w:id="1"/>
      <w:bookmarkEnd w:id="1"/>
      <w:r w:rsidDel="00000000" w:rsidR="00000000" w:rsidRPr="00000000">
        <w:rPr>
          <w:rFonts w:ascii="Times New Roman" w:cs="Times New Roman" w:eastAsia="Times New Roman" w:hAnsi="Times New Roman"/>
          <w:b w:val="1"/>
          <w:sz w:val="28"/>
          <w:szCs w:val="28"/>
          <w:rtl w:val="0"/>
        </w:rPr>
        <w:t xml:space="preserve">Language Policy </w:t>
      </w:r>
    </w:p>
    <w:p w:rsidR="00000000" w:rsidDel="00000000" w:rsidP="00000000" w:rsidRDefault="00000000" w:rsidRPr="00000000" w14:paraId="00000004">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after="160" w:line="259" w:lineRule="auto"/>
        <w:rPr>
          <w:rFonts w:ascii="Times New Roman" w:cs="Times New Roman" w:eastAsia="Times New Roman" w:hAnsi="Times New Roman"/>
          <w:b w:val="1"/>
          <w:highlight w:val="white"/>
        </w:rPr>
      </w:pPr>
      <w:bookmarkStart w:colFirst="0" w:colLast="0" w:name="_1fob9te" w:id="2"/>
      <w:bookmarkEnd w:id="2"/>
      <w:r w:rsidDel="00000000" w:rsidR="00000000" w:rsidRPr="00000000">
        <w:rPr>
          <w:rFonts w:ascii="Times New Roman" w:cs="Times New Roman" w:eastAsia="Times New Roman" w:hAnsi="Times New Roman"/>
          <w:b w:val="1"/>
          <w:highlight w:val="white"/>
          <w:rtl w:val="0"/>
        </w:rPr>
        <w:t xml:space="preserve">Help for non-English speakers</w:t>
      </w:r>
      <w:r w:rsidDel="00000000" w:rsidR="00000000" w:rsidRPr="00000000">
        <w:drawing>
          <wp:anchor allowOverlap="1" behindDoc="0" distB="0" distT="0" distL="114300" distR="114300" hidden="0" layoutInCell="1" locked="0" relativeHeight="0" simplePos="0">
            <wp:simplePos x="0" y="0"/>
            <wp:positionH relativeFrom="column">
              <wp:posOffset>-3173</wp:posOffset>
            </wp:positionH>
            <wp:positionV relativeFrom="paragraph">
              <wp:posOffset>1270</wp:posOffset>
            </wp:positionV>
            <wp:extent cx="798195" cy="798195"/>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98195" cy="798195"/>
                    </a:xfrm>
                    <a:prstGeom prst="rect"/>
                    <a:ln/>
                  </pic:spPr>
                </pic:pic>
              </a:graphicData>
            </a:graphic>
          </wp:anchor>
        </w:drawing>
      </w:r>
    </w:p>
    <w:p w:rsidR="00000000" w:rsidDel="00000000" w:rsidP="00000000" w:rsidRDefault="00000000" w:rsidRPr="00000000" w14:paraId="00000007">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highlight w:val="white"/>
          <w:rtl w:val="0"/>
        </w:rPr>
        <w:t xml:space="preserve">If you need help to understand the information in this policy please contact Murrumbeena Primary School on 9568 1300.</w:t>
      </w:r>
      <w:r w:rsidDel="00000000" w:rsidR="00000000" w:rsidRPr="00000000">
        <w:rPr>
          <w:rtl w:val="0"/>
        </w:rPr>
      </w:r>
    </w:p>
    <w:p w:rsidR="00000000" w:rsidDel="00000000" w:rsidP="00000000" w:rsidRDefault="00000000" w:rsidRPr="00000000" w14:paraId="00000008">
      <w:pPr>
        <w:spacing w:after="160" w:line="259" w:lineRule="auto"/>
        <w:rPr>
          <w:rFonts w:ascii="Times New Roman" w:cs="Times New Roman" w:eastAsia="Times New Roman" w:hAnsi="Times New Roman"/>
          <w:b w:val="1"/>
          <w:color w:val="ff0000"/>
          <w:sz w:val="32"/>
          <w:szCs w:val="32"/>
          <w:u w:val="single"/>
        </w:rPr>
      </w:pPr>
      <w:bookmarkStart w:colFirst="0" w:colLast="0" w:name="_3znysh7" w:id="3"/>
      <w:bookmarkEnd w:id="3"/>
      <w:r w:rsidDel="00000000" w:rsidR="00000000" w:rsidRPr="00000000">
        <w:rPr>
          <w:rtl w:val="0"/>
        </w:rPr>
      </w:r>
    </w:p>
    <w:p w:rsidR="00000000" w:rsidDel="00000000" w:rsidP="00000000" w:rsidRDefault="00000000" w:rsidRPr="00000000" w14:paraId="00000009">
      <w:pPr>
        <w:spacing w:after="160" w:line="259"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PURPOSE</w:t>
      </w:r>
    </w:p>
    <w:p w:rsidR="00000000" w:rsidDel="00000000" w:rsidP="00000000" w:rsidRDefault="00000000" w:rsidRPr="00000000" w14:paraId="0000000A">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Murrumbeena Primary School we believe that language is central to identity, communication, and learning, and that learning language, learning about language and learning through language is essential to a thriving learning community. It is integral to developing competent and confident communicators, thinkers, inquirers and internationally minded students who demonstrate the IB Learner Profile attributes who can successfully participate in a culturally diverse global society. </w:t>
      </w:r>
    </w:p>
    <w:p w:rsidR="00000000" w:rsidDel="00000000" w:rsidP="00000000" w:rsidRDefault="00000000" w:rsidRPr="00000000" w14:paraId="0000000B">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school’s language policy supports the IB mission and promotes inclusivity, equity and multilingualism across all year levels. LOTE (Languages other than English) is a part of our language program with Japanese being taught from prep to year 6. Students learn about Japanese language and culture, fostering curiosity, intercultural understanding, and appreciation of global diversity.  </w:t>
      </w:r>
    </w:p>
    <w:p w:rsidR="00000000" w:rsidDel="00000000" w:rsidP="00000000" w:rsidRDefault="00000000" w:rsidRPr="00000000" w14:paraId="0000000C">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Language Program also encompasses support to students who are learning English as an Additional Language (EAL). The school recognises the diverse linguistic backgrounds of its students and values their home languages as assets to learning and identity. By studying another language students gain greater understanding of language structures as well as gaining new cultural perspectives. </w:t>
      </w:r>
    </w:p>
    <w:p w:rsidR="00000000" w:rsidDel="00000000" w:rsidP="00000000" w:rsidRDefault="00000000" w:rsidRPr="00000000" w14:paraId="0000000D">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school community (leadership, teachers, students and parents) is responsible for promoting opportunities for students to become articulate, literate and respectful learners.  </w:t>
      </w:r>
    </w:p>
    <w:p w:rsidR="00000000" w:rsidDel="00000000" w:rsidP="00000000" w:rsidRDefault="00000000" w:rsidRPr="00000000" w14:paraId="0000000E">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2024, the Education Department approved our sister school arrangement with Shinjo Elementary School in Japan. Our </w:t>
      </w:r>
      <w:r w:rsidDel="00000000" w:rsidR="00000000" w:rsidRPr="00000000">
        <w:rPr>
          <w:rFonts w:ascii="Times New Roman" w:cs="Times New Roman" w:eastAsia="Times New Roman" w:hAnsi="Times New Roman"/>
          <w:rtl w:val="0"/>
        </w:rPr>
        <w:t xml:space="preserve">Sister School</w:t>
      </w:r>
      <w:r w:rsidDel="00000000" w:rsidR="00000000" w:rsidRPr="00000000">
        <w:rPr>
          <w:rFonts w:ascii="Times New Roman" w:cs="Times New Roman" w:eastAsia="Times New Roman" w:hAnsi="Times New Roman"/>
          <w:rtl w:val="0"/>
        </w:rPr>
        <w:t xml:space="preserve"> programs aims to increase engagement, provide an authentic purpose for language learning and have a significant positive effect on the global awareness, attitudes and response of our students.</w:t>
      </w:r>
    </w:p>
    <w:p w:rsidR="00000000" w:rsidDel="00000000" w:rsidP="00000000" w:rsidRDefault="00000000" w:rsidRPr="00000000" w14:paraId="0000000F">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EAL curriculum provides opportunities for students to draw on their knowledge of the language/s spoken at home as a way to enhance their developing understanding of the English language.</w:t>
      </w:r>
      <w:r w:rsidDel="00000000" w:rsidR="00000000" w:rsidRPr="00000000">
        <w:rPr>
          <w:rFonts w:ascii="Times New Roman" w:cs="Times New Roman" w:eastAsia="Times New Roman" w:hAnsi="Times New Roman"/>
          <w:rtl w:val="0"/>
        </w:rPr>
        <w:t xml:space="preserve"> This aligns with the IB belief in additive bilingualism, where the development of additional language does not replace the mother tongue but builds upon it.</w:t>
      </w:r>
    </w:p>
    <w:p w:rsidR="00000000" w:rsidDel="00000000" w:rsidP="00000000" w:rsidRDefault="00000000" w:rsidRPr="00000000" w14:paraId="00000010">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inclusion of plurilingual awareness in the curriculum acknowledges the value of competence in multiple languages. A student who develops plurilingual awareness is able to integrate their knowledge of multiple languages in a way that enriches their communication and learning in all languages</w:t>
      </w:r>
      <w:r w:rsidDel="00000000" w:rsidR="00000000" w:rsidRPr="00000000">
        <w:rPr>
          <w:rFonts w:ascii="Times New Roman" w:cs="Times New Roman" w:eastAsia="Times New Roman" w:hAnsi="Times New Roman"/>
          <w:rtl w:val="0"/>
        </w:rPr>
        <w:t xml:space="preserve">. This also supports students’ sense of self</w:t>
      </w:r>
      <w:r w:rsidDel="00000000" w:rsidR="00000000" w:rsidRPr="00000000">
        <w:rPr>
          <w:rFonts w:ascii="Times New Roman" w:cs="Times New Roman" w:eastAsia="Times New Roman" w:hAnsi="Times New Roman"/>
          <w:rtl w:val="0"/>
        </w:rPr>
        <w:t xml:space="preserve">, identity, and belonging</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1">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AIMS</w:t>
      </w:r>
      <w:r w:rsidDel="00000000" w:rsidR="00000000" w:rsidRPr="00000000">
        <w:rPr>
          <w:rtl w:val="0"/>
        </w:rPr>
      </w:r>
    </w:p>
    <w:p w:rsidR="00000000" w:rsidDel="00000000" w:rsidP="00000000" w:rsidRDefault="00000000" w:rsidRPr="00000000" w14:paraId="00000012">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aims of the policy are to:</w:t>
      </w:r>
    </w:p>
    <w:p w:rsidR="00000000" w:rsidDel="00000000" w:rsidP="00000000" w:rsidRDefault="00000000" w:rsidRPr="00000000" w14:paraId="00000013">
      <w:pPr>
        <w:numPr>
          <w:ilvl w:val="0"/>
          <w:numId w:val="2"/>
        </w:numPr>
        <w:spacing w:line="240" w:lineRule="auto"/>
        <w:ind w:left="28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early learners with the opportunity to participate in planned collaborative play-based learning experiences which encourage students to use language.</w:t>
      </w:r>
    </w:p>
    <w:p w:rsidR="00000000" w:rsidDel="00000000" w:rsidP="00000000" w:rsidRDefault="00000000" w:rsidRPr="00000000" w14:paraId="00000014">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numPr>
          <w:ilvl w:val="0"/>
          <w:numId w:val="2"/>
        </w:numPr>
        <w:spacing w:line="240" w:lineRule="auto"/>
        <w:ind w:left="28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 communication skills including articulate speaking, active listening, fluent handwriting, efficient keyboarding, multimedia and artistic performance.</w:t>
      </w:r>
    </w:p>
    <w:p w:rsidR="00000000" w:rsidDel="00000000" w:rsidP="00000000" w:rsidRDefault="00000000" w:rsidRPr="00000000" w14:paraId="00000016">
      <w:pPr>
        <w:spacing w:after="160" w:line="259" w:lineRule="auto"/>
        <w:rPr>
          <w:rFonts w:ascii="Times New Roman" w:cs="Times New Roman" w:eastAsia="Times New Roman" w:hAnsi="Times New Roman"/>
          <w:strike w:val="1"/>
        </w:rPr>
      </w:pPr>
      <w:r w:rsidDel="00000000" w:rsidR="00000000" w:rsidRPr="00000000">
        <w:rPr>
          <w:rtl w:val="0"/>
        </w:rPr>
      </w:r>
    </w:p>
    <w:p w:rsidR="00000000" w:rsidDel="00000000" w:rsidP="00000000" w:rsidRDefault="00000000" w:rsidRPr="00000000" w14:paraId="00000017">
      <w:pPr>
        <w:numPr>
          <w:ilvl w:val="0"/>
          <w:numId w:val="2"/>
        </w:numPr>
        <w:spacing w:line="240" w:lineRule="auto"/>
        <w:ind w:left="28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 the ability to utilise communication skills with enjoyment, purpose and confidence in a wide range of contexts.</w:t>
      </w:r>
    </w:p>
    <w:p w:rsidR="00000000" w:rsidDel="00000000" w:rsidP="00000000" w:rsidRDefault="00000000" w:rsidRPr="00000000" w14:paraId="00000018">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numPr>
          <w:ilvl w:val="0"/>
          <w:numId w:val="2"/>
        </w:numPr>
        <w:spacing w:line="240" w:lineRule="auto"/>
        <w:ind w:left="28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 skills which will enable the student to understand, interpret, critically analyse, uncover perspectives, make connections, reflect upon and enjoy written and visual print and multimodal texts.</w:t>
      </w:r>
    </w:p>
    <w:p w:rsidR="00000000" w:rsidDel="00000000" w:rsidP="00000000" w:rsidRDefault="00000000" w:rsidRPr="00000000" w14:paraId="0000001A">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numPr>
          <w:ilvl w:val="0"/>
          <w:numId w:val="2"/>
        </w:numPr>
        <w:spacing w:line="240" w:lineRule="auto"/>
        <w:ind w:left="28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facilitate the ability to conceive, plan, compose, edit, revise/up level and publish a range of texts.</w:t>
      </w:r>
    </w:p>
    <w:p w:rsidR="00000000" w:rsidDel="00000000" w:rsidP="00000000" w:rsidRDefault="00000000" w:rsidRPr="00000000" w14:paraId="0000001C">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numPr>
          <w:ilvl w:val="0"/>
          <w:numId w:val="2"/>
        </w:numPr>
        <w:spacing w:line="240" w:lineRule="auto"/>
        <w:ind w:left="28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enhance knowledge and use of appropriate oral language for audiences and occasions, including appropriate body language and voice.</w:t>
      </w:r>
    </w:p>
    <w:p w:rsidR="00000000" w:rsidDel="00000000" w:rsidP="00000000" w:rsidRDefault="00000000" w:rsidRPr="00000000" w14:paraId="0000001E">
      <w:pPr>
        <w:spacing w:after="160" w:line="259" w:lineRule="auto"/>
        <w:rPr>
          <w:rFonts w:ascii="Times New Roman" w:cs="Times New Roman" w:eastAsia="Times New Roman" w:hAnsi="Times New Roman"/>
          <w:strike w:val="1"/>
        </w:rPr>
      </w:pPr>
      <w:r w:rsidDel="00000000" w:rsidR="00000000" w:rsidRPr="00000000">
        <w:rPr>
          <w:rtl w:val="0"/>
        </w:rPr>
      </w:r>
    </w:p>
    <w:p w:rsidR="00000000" w:rsidDel="00000000" w:rsidP="00000000" w:rsidRDefault="00000000" w:rsidRPr="00000000" w14:paraId="0000001F">
      <w:pPr>
        <w:numPr>
          <w:ilvl w:val="0"/>
          <w:numId w:val="2"/>
        </w:numPr>
        <w:spacing w:line="240" w:lineRule="auto"/>
        <w:ind w:left="28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 the understanding of how language works, the development of multilingualism and intercultural understanding and the recognition of cultural identity by:</w:t>
      </w:r>
    </w:p>
    <w:p w:rsidR="00000000" w:rsidDel="00000000" w:rsidP="00000000" w:rsidRDefault="00000000" w:rsidRPr="00000000" w14:paraId="00000020">
      <w:pPr>
        <w:numPr>
          <w:ilvl w:val="0"/>
          <w:numId w:val="3"/>
        </w:numPr>
        <w:spacing w:line="240" w:lineRule="auto"/>
        <w:ind w:left="1134" w:hanging="42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providing the opportunity to experience a language other than English (Japanese)</w:t>
      </w:r>
    </w:p>
    <w:p w:rsidR="00000000" w:rsidDel="00000000" w:rsidP="00000000" w:rsidRDefault="00000000" w:rsidRPr="00000000" w14:paraId="00000021">
      <w:pPr>
        <w:numPr>
          <w:ilvl w:val="0"/>
          <w:numId w:val="3"/>
        </w:numPr>
        <w:spacing w:line="240" w:lineRule="auto"/>
        <w:ind w:left="1134" w:hanging="42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encouraging and supporting students’ use of home and family languages</w:t>
      </w:r>
    </w:p>
    <w:p w:rsidR="00000000" w:rsidDel="00000000" w:rsidP="00000000" w:rsidRDefault="00000000" w:rsidRPr="00000000" w14:paraId="00000022">
      <w:pPr>
        <w:numPr>
          <w:ilvl w:val="0"/>
          <w:numId w:val="3"/>
        </w:numPr>
        <w:spacing w:line="240" w:lineRule="auto"/>
        <w:ind w:left="1134" w:hanging="42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w:t>
      </w:r>
      <w:r w:rsidDel="00000000" w:rsidR="00000000" w:rsidRPr="00000000">
        <w:rPr>
          <w:rFonts w:ascii="Times New Roman" w:cs="Times New Roman" w:eastAsia="Times New Roman" w:hAnsi="Times New Roman"/>
          <w:rtl w:val="0"/>
        </w:rPr>
        <w:t xml:space="preserve">ostering international mindedness through authentic, respectful engagement with linguistic and cultural diversit</w:t>
      </w:r>
      <w:r w:rsidDel="00000000" w:rsidR="00000000" w:rsidRPr="00000000">
        <w:rPr>
          <w:rFonts w:ascii="Times New Roman" w:cs="Times New Roman" w:eastAsia="Times New Roman" w:hAnsi="Times New Roman"/>
          <w:rtl w:val="0"/>
        </w:rPr>
        <w:t xml:space="preserve">y.</w:t>
      </w:r>
      <w:r w:rsidDel="00000000" w:rsidR="00000000" w:rsidRPr="00000000">
        <w:rPr>
          <w:rtl w:val="0"/>
        </w:rPr>
      </w:r>
    </w:p>
    <w:p w:rsidR="00000000" w:rsidDel="00000000" w:rsidP="00000000" w:rsidRDefault="00000000" w:rsidRPr="00000000" w14:paraId="00000023">
      <w:pPr>
        <w:spacing w:after="160" w:line="259" w:lineRule="auto"/>
        <w:ind w:left="1134" w:hanging="425"/>
        <w:rPr>
          <w:rFonts w:ascii="Times New Roman" w:cs="Times New Roman" w:eastAsia="Times New Roman" w:hAnsi="Times New Roman"/>
          <w:strike w:val="1"/>
        </w:rPr>
      </w:pPr>
      <w:r w:rsidDel="00000000" w:rsidR="00000000" w:rsidRPr="00000000">
        <w:rPr>
          <w:rtl w:val="0"/>
        </w:rPr>
      </w:r>
    </w:p>
    <w:p w:rsidR="00000000" w:rsidDel="00000000" w:rsidP="00000000" w:rsidRDefault="00000000" w:rsidRPr="00000000" w14:paraId="00000024">
      <w:pPr>
        <w:numPr>
          <w:ilvl w:val="0"/>
          <w:numId w:val="2"/>
        </w:numPr>
        <w:spacing w:line="240" w:lineRule="auto"/>
        <w:ind w:left="28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 students learning English as an additional language by supporting their understanding of cultural information and social interactions while scaffolding the learning of English.</w:t>
      </w:r>
    </w:p>
    <w:p w:rsidR="00000000" w:rsidDel="00000000" w:rsidP="00000000" w:rsidRDefault="00000000" w:rsidRPr="00000000" w14:paraId="00000025">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2"/>
        </w:numPr>
        <w:spacing w:line="240" w:lineRule="auto"/>
        <w:ind w:left="28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build partnerships between home and school to encourage parental and guardian involvement in their child’s language development.</w:t>
      </w:r>
    </w:p>
    <w:p w:rsidR="00000000" w:rsidDel="00000000" w:rsidP="00000000" w:rsidRDefault="00000000" w:rsidRPr="00000000" w14:paraId="00000027">
      <w:pPr>
        <w:spacing w:after="160" w:line="259" w:lineRule="auto"/>
        <w:rPr>
          <w:rFonts w:ascii="Times New Roman" w:cs="Times New Roman" w:eastAsia="Times New Roman" w:hAnsi="Times New Roman"/>
          <w:strike w:val="1"/>
        </w:rPr>
      </w:pPr>
      <w:r w:rsidDel="00000000" w:rsidR="00000000" w:rsidRPr="00000000">
        <w:rPr>
          <w:rtl w:val="0"/>
        </w:rPr>
      </w:r>
    </w:p>
    <w:p w:rsidR="00000000" w:rsidDel="00000000" w:rsidP="00000000" w:rsidRDefault="00000000" w:rsidRPr="00000000" w14:paraId="00000028">
      <w:pPr>
        <w:numPr>
          <w:ilvl w:val="0"/>
          <w:numId w:val="2"/>
        </w:numPr>
        <w:spacing w:line="240" w:lineRule="auto"/>
        <w:ind w:left="28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scaffold language learning through collaborative inquiry-based classrooms which support the use of complex functions of language, such as classifying, justifying, hypothesising, clarifying, explaining and comparing,</w:t>
      </w:r>
      <w:r w:rsidDel="00000000" w:rsidR="00000000" w:rsidRPr="00000000">
        <w:rPr>
          <w:rFonts w:ascii="Times New Roman" w:cs="Times New Roman" w:eastAsia="Times New Roman" w:hAnsi="Times New Roman"/>
          <w:rtl w:val="0"/>
        </w:rPr>
        <w:t xml:space="preserve"> within transdisciplinary and subject-specific contexts.</w:t>
      </w:r>
    </w:p>
    <w:p w:rsidR="00000000" w:rsidDel="00000000" w:rsidP="00000000" w:rsidRDefault="00000000" w:rsidRPr="00000000" w14:paraId="00000029">
      <w:pPr>
        <w:spacing w:after="160" w:line="259" w:lineRule="auto"/>
        <w:rPr>
          <w:rFonts w:ascii="Times New Roman" w:cs="Times New Roman" w:eastAsia="Times New Roman" w:hAnsi="Times New Roman"/>
          <w:strike w:val="1"/>
        </w:rPr>
      </w:pPr>
      <w:r w:rsidDel="00000000" w:rsidR="00000000" w:rsidRPr="00000000">
        <w:rPr>
          <w:rtl w:val="0"/>
        </w:rPr>
      </w:r>
    </w:p>
    <w:p w:rsidR="00000000" w:rsidDel="00000000" w:rsidP="00000000" w:rsidRDefault="00000000" w:rsidRPr="00000000" w14:paraId="0000002A">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GUIDELINES</w:t>
      </w:r>
      <w:r w:rsidDel="00000000" w:rsidR="00000000" w:rsidRPr="00000000">
        <w:rPr>
          <w:rtl w:val="0"/>
        </w:rPr>
      </w:r>
    </w:p>
    <w:p w:rsidR="00000000" w:rsidDel="00000000" w:rsidP="00000000" w:rsidRDefault="00000000" w:rsidRPr="00000000" w14:paraId="0000002B">
      <w:pPr>
        <w:spacing w:after="160" w:line="259" w:lineRule="auto"/>
        <w:ind w:right="-76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deliver a sequential program of language learning based on the mandated Victorian Curriculum.</w:t>
      </w:r>
    </w:p>
    <w:p w:rsidR="00000000" w:rsidDel="00000000" w:rsidP="00000000" w:rsidRDefault="00000000" w:rsidRPr="00000000" w14:paraId="0000002C">
      <w:pPr>
        <w:tabs>
          <w:tab w:val="left" w:leader="none" w:pos="720"/>
        </w:tabs>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Language learning focuses on the conscious and deliberate study of language in a range of texts and contexts in which language is heard, spoken, read, viewed and written. The language program will incorporate specific skill sessions, introduced sequentially throughout the school, covering the conventional aspects of language in Japanese and English. </w:t>
      </w:r>
    </w:p>
    <w:p w:rsidR="00000000" w:rsidDel="00000000" w:rsidP="00000000" w:rsidRDefault="00000000" w:rsidRPr="00000000" w14:paraId="0000002D">
      <w:pPr>
        <w:tabs>
          <w:tab w:val="left" w:leader="none" w:pos="720"/>
        </w:tabs>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possible language instruction will be transdisciplinary and linked to the Programme of Inquiry (POI), promoting real-world application and conceptual understanding. L</w:t>
      </w:r>
      <w:r w:rsidDel="00000000" w:rsidR="00000000" w:rsidRPr="00000000">
        <w:rPr>
          <w:rFonts w:ascii="Times New Roman" w:cs="Times New Roman" w:eastAsia="Times New Roman" w:hAnsi="Times New Roman"/>
          <w:rtl w:val="0"/>
        </w:rPr>
        <w:t xml:space="preserve">earning contexts should be diverse and include situations that are formal, informal, planned and spontaneous. Firsthand experiences are used to ensure purpose and meaning is reflected in language activities. </w:t>
      </w:r>
    </w:p>
    <w:p w:rsidR="00000000" w:rsidDel="00000000" w:rsidP="00000000" w:rsidRDefault="00000000" w:rsidRPr="00000000" w14:paraId="0000002E">
      <w:pPr>
        <w:tabs>
          <w:tab w:val="left" w:leader="none" w:pos="720"/>
        </w:tabs>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Speaking and listening activities will include active listening strategies and an understanding of conventions of different spoken texts including everyday communication such as: questioning, collaborating, presenting, storytelling, debating and negotiating.</w:t>
      </w:r>
    </w:p>
    <w:p w:rsidR="00000000" w:rsidDel="00000000" w:rsidP="00000000" w:rsidRDefault="00000000" w:rsidRPr="00000000" w14:paraId="0000002F">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structures and features of language will be a focus of classroom experiences. Throughout the years of schooling, students need to develop abilities to use the following features of language:</w:t>
      </w:r>
    </w:p>
    <w:p w:rsidR="00000000" w:rsidDel="00000000" w:rsidP="00000000" w:rsidRDefault="00000000" w:rsidRPr="00000000" w14:paraId="00000030">
      <w:pPr>
        <w:numPr>
          <w:ilvl w:val="0"/>
          <w:numId w:val="5"/>
        </w:numPr>
        <w:tabs>
          <w:tab w:val="left" w:leader="none" w:pos="360"/>
        </w:tabs>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print elements, including: letters, characters, words, scripts, spelling, paragraphs, punctuation, layout and presentation.</w:t>
      </w:r>
    </w:p>
    <w:p w:rsidR="00000000" w:rsidDel="00000000" w:rsidP="00000000" w:rsidRDefault="00000000" w:rsidRPr="00000000" w14:paraId="00000031">
      <w:pPr>
        <w:numPr>
          <w:ilvl w:val="0"/>
          <w:numId w:val="5"/>
        </w:numPr>
        <w:tabs>
          <w:tab w:val="left" w:leader="none" w:pos="360"/>
        </w:tabs>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grammatical aspects of language including sentence structure and vocabulary.</w:t>
      </w:r>
    </w:p>
    <w:p w:rsidR="00000000" w:rsidDel="00000000" w:rsidP="00000000" w:rsidRDefault="00000000" w:rsidRPr="00000000" w14:paraId="00000032">
      <w:pPr>
        <w:numPr>
          <w:ilvl w:val="0"/>
          <w:numId w:val="5"/>
        </w:numPr>
        <w:tabs>
          <w:tab w:val="left" w:leader="none" w:pos="360"/>
        </w:tabs>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patterns and structures of a range of genres, including: recount, procedure, information, explanation, persuasive, narrative and poetry/verse.</w:t>
      </w:r>
    </w:p>
    <w:p w:rsidR="00000000" w:rsidDel="00000000" w:rsidP="00000000" w:rsidRDefault="00000000" w:rsidRPr="00000000" w14:paraId="00000033">
      <w:pPr>
        <w:numPr>
          <w:ilvl w:val="0"/>
          <w:numId w:val="5"/>
        </w:numPr>
        <w:tabs>
          <w:tab w:val="left" w:leader="none" w:pos="360"/>
        </w:tabs>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intonation, pronunciation, rhythm, pace, pitch, volume and pauses in spoken language.</w:t>
      </w:r>
    </w:p>
    <w:p w:rsidR="00000000" w:rsidDel="00000000" w:rsidP="00000000" w:rsidRDefault="00000000" w:rsidRPr="00000000" w14:paraId="00000034">
      <w:pPr>
        <w:numPr>
          <w:ilvl w:val="0"/>
          <w:numId w:val="5"/>
        </w:numPr>
        <w:tabs>
          <w:tab w:val="left" w:leader="none" w:pos="360"/>
        </w:tabs>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non-verbal elements of communication including: facial expression, body movement, proximity and gestures.</w:t>
      </w:r>
    </w:p>
    <w:p w:rsidR="00000000" w:rsidDel="00000000" w:rsidP="00000000" w:rsidRDefault="00000000" w:rsidRPr="00000000" w14:paraId="00000035">
      <w:pPr>
        <w:numPr>
          <w:ilvl w:val="0"/>
          <w:numId w:val="5"/>
        </w:numPr>
        <w:tabs>
          <w:tab w:val="left" w:leader="none" w:pos="360"/>
        </w:tabs>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graphic elements of texts including: diagrams, photos, illustrations, and mathematical representations.  </w:t>
      </w:r>
    </w:p>
    <w:p w:rsidR="00000000" w:rsidDel="00000000" w:rsidP="00000000" w:rsidRDefault="00000000" w:rsidRPr="00000000" w14:paraId="00000036">
      <w:pPr>
        <w:tabs>
          <w:tab w:val="left" w:leader="none" w:pos="360"/>
        </w:tabs>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all levels, all language activities will be tailored to the individual/personal needs of each student. Individual education plans will be developed for funded students and goals will be negotiated for all students to personalise learning. Students who are eligible, may also participate in intervention for additional language support. Students from English as an Additional Language (EAL) backgrounds will be supported through Equity Funding with consideration to cultural background, level of proficiency in English and prior learning experiences.</w:t>
      </w:r>
    </w:p>
    <w:p w:rsidR="00000000" w:rsidDel="00000000" w:rsidP="00000000" w:rsidRDefault="00000000" w:rsidRPr="00000000" w14:paraId="00000038">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EVALUATION</w:t>
      </w:r>
      <w:r w:rsidDel="00000000" w:rsidR="00000000" w:rsidRPr="00000000">
        <w:rPr>
          <w:rtl w:val="0"/>
        </w:rPr>
      </w:r>
    </w:p>
    <w:p w:rsidR="00000000" w:rsidDel="00000000" w:rsidP="00000000" w:rsidRDefault="00000000" w:rsidRPr="00000000" w14:paraId="0000003A">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Assessment procedures to include:</w:t>
      </w:r>
    </w:p>
    <w:p w:rsidR="00000000" w:rsidDel="00000000" w:rsidP="00000000" w:rsidRDefault="00000000" w:rsidRPr="00000000" w14:paraId="0000003B">
      <w:pPr>
        <w:tabs>
          <w:tab w:val="left" w:leader="none" w:pos="720"/>
        </w:tabs>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Assessment </w:t>
      </w:r>
      <w:r w:rsidDel="00000000" w:rsidR="00000000" w:rsidRPr="00000000">
        <w:rPr>
          <w:rFonts w:ascii="Times New Roman" w:cs="Times New Roman" w:eastAsia="Times New Roman" w:hAnsi="Times New Roman"/>
          <w:i w:val="1"/>
          <w:rtl w:val="0"/>
        </w:rPr>
        <w:t xml:space="preserve">for</w:t>
      </w:r>
      <w:r w:rsidDel="00000000" w:rsidR="00000000" w:rsidRPr="00000000">
        <w:rPr>
          <w:rFonts w:ascii="Times New Roman" w:cs="Times New Roman" w:eastAsia="Times New Roman" w:hAnsi="Times New Roman"/>
          <w:rtl w:val="0"/>
        </w:rPr>
        <w:t xml:space="preserve"> learning: formative assessments to inform learning and teaching plans and support the setting of personalised student learning goals (e.g. big writes, standardised tests, running records, rubrics).</w:t>
      </w:r>
    </w:p>
    <w:p w:rsidR="00000000" w:rsidDel="00000000" w:rsidP="00000000" w:rsidRDefault="00000000" w:rsidRPr="00000000" w14:paraId="0000003C">
      <w:pPr>
        <w:tabs>
          <w:tab w:val="left" w:leader="none" w:pos="720"/>
        </w:tabs>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Assessment </w:t>
      </w:r>
      <w:r w:rsidDel="00000000" w:rsidR="00000000" w:rsidRPr="00000000">
        <w:rPr>
          <w:rFonts w:ascii="Times New Roman" w:cs="Times New Roman" w:eastAsia="Times New Roman" w:hAnsi="Times New Roman"/>
          <w:i w:val="1"/>
          <w:rtl w:val="0"/>
        </w:rPr>
        <w:t xml:space="preserve">as</w:t>
      </w:r>
      <w:r w:rsidDel="00000000" w:rsidR="00000000" w:rsidRPr="00000000">
        <w:rPr>
          <w:rFonts w:ascii="Times New Roman" w:cs="Times New Roman" w:eastAsia="Times New Roman" w:hAnsi="Times New Roman"/>
          <w:rtl w:val="0"/>
        </w:rPr>
        <w:t xml:space="preserve"> learning: students reflect on and monitor their progress to evaluate current goals and inform future learning goals. Teachers regularly conference with students to support and monitor progress. </w:t>
      </w:r>
    </w:p>
    <w:p w:rsidR="00000000" w:rsidDel="00000000" w:rsidP="00000000" w:rsidRDefault="00000000" w:rsidRPr="00000000" w14:paraId="0000003D">
      <w:pPr>
        <w:tabs>
          <w:tab w:val="left" w:leader="none" w:pos="720"/>
        </w:tabs>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Assessment </w:t>
      </w:r>
      <w:r w:rsidDel="00000000" w:rsidR="00000000" w:rsidRPr="00000000">
        <w:rPr>
          <w:rFonts w:ascii="Times New Roman" w:cs="Times New Roman" w:eastAsia="Times New Roman" w:hAnsi="Times New Roman"/>
          <w:i w:val="1"/>
          <w:rtl w:val="0"/>
        </w:rPr>
        <w:t xml:space="preserve">of</w:t>
      </w:r>
      <w:r w:rsidDel="00000000" w:rsidR="00000000" w:rsidRPr="00000000">
        <w:rPr>
          <w:rFonts w:ascii="Times New Roman" w:cs="Times New Roman" w:eastAsia="Times New Roman" w:hAnsi="Times New Roman"/>
          <w:rtl w:val="0"/>
        </w:rPr>
        <w:t xml:space="preserve"> learning: Evidence of student learning is used to make judgements on student </w:t>
      </w:r>
      <w:r w:rsidDel="00000000" w:rsidR="00000000" w:rsidRPr="00000000">
        <w:rPr>
          <w:rFonts w:ascii="Times New Roman" w:cs="Times New Roman" w:eastAsia="Times New Roman" w:hAnsi="Times New Roman"/>
          <w:rtl w:val="0"/>
        </w:rPr>
        <w:t xml:space="preserve">achievement (eg. assignments, models, standardised tests).</w:t>
      </w:r>
    </w:p>
    <w:p w:rsidR="00000000" w:rsidDel="00000000" w:rsidP="00000000" w:rsidRDefault="00000000" w:rsidRPr="00000000" w14:paraId="0000003E">
      <w:pPr>
        <w:tabs>
          <w:tab w:val="left" w:leader="none" w:pos="720"/>
        </w:tabs>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Language assessments will be inclusive and consider student’s linguistic backgrounds, ensuring equity in evaluation.</w:t>
      </w:r>
    </w:p>
    <w:p w:rsidR="00000000" w:rsidDel="00000000" w:rsidP="00000000" w:rsidRDefault="00000000" w:rsidRPr="00000000" w14:paraId="0000003F">
      <w:pPr>
        <w:tabs>
          <w:tab w:val="left" w:leader="none" w:pos="720"/>
        </w:tabs>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Appendix One - Supporting English as an Additional Language (EAL) Learners </w:t>
      </w:r>
    </w:p>
    <w:p w:rsidR="00000000" w:rsidDel="00000000" w:rsidP="00000000" w:rsidRDefault="00000000" w:rsidRPr="00000000" w14:paraId="00000041">
      <w:pPr>
        <w:spacing w:after="160" w:line="259"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2">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Murrumbeena Primary School, we recognise the changing cultural and linguistic identity of our students and their families. We recognise the need for additional support for these students and their families who do not speak English as their first language. </w:t>
      </w:r>
    </w:p>
    <w:p w:rsidR="00000000" w:rsidDel="00000000" w:rsidP="00000000" w:rsidRDefault="00000000" w:rsidRPr="00000000" w14:paraId="00000043">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language is integral to a sense of identity and is intimately connected to how we feel about the world, it is essential that students are able to succeed in learning language for both social and academic purposes. In order to ensure this is a positive experience for all students, we need to identify the personal needs of each learner and promote and value diversity within our school. </w:t>
      </w:r>
    </w:p>
    <w:p w:rsidR="00000000" w:rsidDel="00000000" w:rsidP="00000000" w:rsidRDefault="00000000" w:rsidRPr="00000000" w14:paraId="00000044">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EAL students have the opportunity to progress through the Victorian Curriculum 2.0 EAL pathways - Pathway A: Foundation - Year 2 and Pathway B: Years 3 -6. Students remain on the EAL curriculum throughout their primary years until they demonstrate the language proficiency required to transition to the Victorian Curriculum 2.0 English appropriate to their year level.</w:t>
      </w:r>
    </w:p>
    <w:p w:rsidR="00000000" w:rsidDel="00000000" w:rsidP="00000000" w:rsidRDefault="00000000" w:rsidRPr="00000000" w14:paraId="00000045">
      <w:pPr>
        <w:spacing w:after="160" w:line="259"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46">
      <w:pPr>
        <w:spacing w:after="160" w:line="259"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ROLES AND RESPONSIBILITIES</w:t>
      </w:r>
    </w:p>
    <w:p w:rsidR="00000000" w:rsidDel="00000000" w:rsidP="00000000" w:rsidRDefault="00000000" w:rsidRPr="00000000" w14:paraId="00000047">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support EAL students, each area of the school has a role to play. The school leadership team and EAL Leader work in partnership with staff, parents and appropriate community partners to ensure that every student has access to the best possible educational experience. </w:t>
      </w:r>
    </w:p>
    <w:p w:rsidR="00000000" w:rsidDel="00000000" w:rsidP="00000000" w:rsidRDefault="00000000" w:rsidRPr="00000000" w14:paraId="00000048">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build the capacity of the whole school in helping EAL learners reach their full potential the school will: </w:t>
      </w:r>
    </w:p>
    <w:p w:rsidR="00000000" w:rsidDel="00000000" w:rsidP="00000000" w:rsidRDefault="00000000" w:rsidRPr="00000000" w14:paraId="00000049">
      <w:pPr>
        <w:numPr>
          <w:ilvl w:val="0"/>
          <w:numId w:val="6"/>
        </w:numPr>
        <w:spacing w:line="25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ensure it has procedures in place to gather relevant, accurate demographic information. </w:t>
      </w:r>
    </w:p>
    <w:p w:rsidR="00000000" w:rsidDel="00000000" w:rsidP="00000000" w:rsidRDefault="00000000" w:rsidRPr="00000000" w14:paraId="0000004A">
      <w:pPr>
        <w:numPr>
          <w:ilvl w:val="0"/>
          <w:numId w:val="6"/>
        </w:numPr>
        <w:spacing w:line="25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ensure that new EAL learners and their families are welcomed to the school so that home school partnerships and parental engagement is encouraged.</w:t>
      </w:r>
    </w:p>
    <w:p w:rsidR="00000000" w:rsidDel="00000000" w:rsidP="00000000" w:rsidRDefault="00000000" w:rsidRPr="00000000" w14:paraId="0000004B">
      <w:pPr>
        <w:numPr>
          <w:ilvl w:val="0"/>
          <w:numId w:val="6"/>
        </w:numPr>
        <w:spacing w:line="25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build an inclusive environment, recognising the diversity in the school and where possible use community languages.</w:t>
      </w:r>
    </w:p>
    <w:p w:rsidR="00000000" w:rsidDel="00000000" w:rsidP="00000000" w:rsidRDefault="00000000" w:rsidRPr="00000000" w14:paraId="0000004C">
      <w:pPr>
        <w:numPr>
          <w:ilvl w:val="0"/>
          <w:numId w:val="6"/>
        </w:numPr>
        <w:spacing w:line="25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acquire and build a wide range of resources that reflect the linguistic and cultural backgrounds of the school community.</w:t>
      </w:r>
    </w:p>
    <w:p w:rsidR="00000000" w:rsidDel="00000000" w:rsidP="00000000" w:rsidRDefault="00000000" w:rsidRPr="00000000" w14:paraId="0000004D">
      <w:pPr>
        <w:numPr>
          <w:ilvl w:val="0"/>
          <w:numId w:val="6"/>
        </w:numPr>
        <w:spacing w:line="25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ensure that planning for EAL teaching and learning is supported by appropriate policies and professional development to build capacity and expertise.</w:t>
      </w:r>
    </w:p>
    <w:p w:rsidR="00000000" w:rsidDel="00000000" w:rsidP="00000000" w:rsidRDefault="00000000" w:rsidRPr="00000000" w14:paraId="0000004E">
      <w:pPr>
        <w:numPr>
          <w:ilvl w:val="0"/>
          <w:numId w:val="6"/>
        </w:numPr>
        <w:spacing w:line="25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liaise with the local English Language school(s).</w:t>
      </w:r>
    </w:p>
    <w:p w:rsidR="00000000" w:rsidDel="00000000" w:rsidP="00000000" w:rsidRDefault="00000000" w:rsidRPr="00000000" w14:paraId="0000004F">
      <w:pPr>
        <w:numPr>
          <w:ilvl w:val="0"/>
          <w:numId w:val="6"/>
        </w:numPr>
        <w:spacing w:after="160" w:line="25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interpreters when needed.</w:t>
      </w:r>
    </w:p>
    <w:p w:rsidR="00000000" w:rsidDel="00000000" w:rsidP="00000000" w:rsidRDefault="00000000" w:rsidRPr="00000000" w14:paraId="00000050">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Teachers bring knowledge, enthusiasm and varied teaching and assessment approaches to the classroom. To address individual student needs and support EAL learners, teachers will:</w:t>
      </w:r>
    </w:p>
    <w:p w:rsidR="00000000" w:rsidDel="00000000" w:rsidP="00000000" w:rsidRDefault="00000000" w:rsidRPr="00000000" w14:paraId="00000051">
      <w:pPr>
        <w:numPr>
          <w:ilvl w:val="0"/>
          <w:numId w:val="4"/>
        </w:numPr>
        <w:spacing w:line="25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learn about their students’ backgrounds, experiences and languages.</w:t>
      </w:r>
    </w:p>
    <w:p w:rsidR="00000000" w:rsidDel="00000000" w:rsidP="00000000" w:rsidRDefault="00000000" w:rsidRPr="00000000" w14:paraId="00000052">
      <w:pPr>
        <w:numPr>
          <w:ilvl w:val="0"/>
          <w:numId w:val="4"/>
        </w:numPr>
        <w:spacing w:line="25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create a classroom that celebrates cultural and linguistic diversity.</w:t>
      </w:r>
    </w:p>
    <w:p w:rsidR="00000000" w:rsidDel="00000000" w:rsidP="00000000" w:rsidRDefault="00000000" w:rsidRPr="00000000" w14:paraId="00000053">
      <w:pPr>
        <w:numPr>
          <w:ilvl w:val="0"/>
          <w:numId w:val="4"/>
        </w:numPr>
        <w:spacing w:line="25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engaging and challenging opportunities to learn English with appropriate modifications or accommodation.</w:t>
      </w:r>
    </w:p>
    <w:p w:rsidR="00000000" w:rsidDel="00000000" w:rsidP="00000000" w:rsidRDefault="00000000" w:rsidRPr="00000000" w14:paraId="00000054">
      <w:pPr>
        <w:numPr>
          <w:ilvl w:val="0"/>
          <w:numId w:val="4"/>
        </w:numPr>
        <w:spacing w:line="25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communicate regularly with parents, considering the varied background experiences of diverse families.</w:t>
      </w:r>
    </w:p>
    <w:p w:rsidR="00000000" w:rsidDel="00000000" w:rsidP="00000000" w:rsidRDefault="00000000" w:rsidRPr="00000000" w14:paraId="00000055">
      <w:pPr>
        <w:numPr>
          <w:ilvl w:val="0"/>
          <w:numId w:val="4"/>
        </w:numPr>
        <w:spacing w:line="25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a variety of teaching and learning strategies to facilitate the success of EAL learners. (Examples include the use of visual aids and demonstrations, working in small groups, differentiating and scaffolding appropriately, allowing students to research in their mother tongue, practising oral language skills to build social competencies as well as academic ones.)</w:t>
      </w:r>
    </w:p>
    <w:p w:rsidR="00000000" w:rsidDel="00000000" w:rsidP="00000000" w:rsidRDefault="00000000" w:rsidRPr="00000000" w14:paraId="00000056">
      <w:pPr>
        <w:numPr>
          <w:ilvl w:val="0"/>
          <w:numId w:val="4"/>
        </w:numPr>
        <w:spacing w:line="25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assessment strategies that allow all students to express the understandings they have gained.</w:t>
      </w:r>
    </w:p>
    <w:p w:rsidR="00000000" w:rsidDel="00000000" w:rsidP="00000000" w:rsidRDefault="00000000" w:rsidRPr="00000000" w14:paraId="00000057">
      <w:pPr>
        <w:numPr>
          <w:ilvl w:val="0"/>
          <w:numId w:val="4"/>
        </w:numPr>
        <w:spacing w:after="160" w:line="25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participate in relevant EAL professional learning. </w:t>
      </w:r>
    </w:p>
    <w:p w:rsidR="00000000" w:rsidDel="00000000" w:rsidP="00000000" w:rsidRDefault="00000000" w:rsidRPr="00000000" w14:paraId="00000058">
      <w:pPr>
        <w:numPr>
          <w:ilvl w:val="0"/>
          <w:numId w:val="4"/>
        </w:numPr>
        <w:spacing w:after="400" w:line="25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the Victorian Curriculum 2.0 EAL pathways A and B to guide the teaching and monitor the learning.</w:t>
      </w:r>
    </w:p>
    <w:p w:rsidR="00000000" w:rsidDel="00000000" w:rsidP="00000000" w:rsidRDefault="00000000" w:rsidRPr="00000000" w14:paraId="00000059">
      <w:pPr>
        <w:spacing w:after="160" w:line="259"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SUPPORT OF MOTHER TONGUE (OR HOME) LANGUAGES</w:t>
      </w:r>
    </w:p>
    <w:p w:rsidR="00000000" w:rsidDel="00000000" w:rsidP="00000000" w:rsidRDefault="00000000" w:rsidRPr="00000000" w14:paraId="0000005A">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who have their mother tongue or home language skills acknowledged and celebrated by teachers and classmates, are more likely to feel confident at school and take risks that are involved in learning, particularly a new language. They come to view English as an addition rather than a substitution to their first language. </w:t>
      </w:r>
    </w:p>
    <w:p w:rsidR="00000000" w:rsidDel="00000000" w:rsidP="00000000" w:rsidRDefault="00000000" w:rsidRPr="00000000" w14:paraId="0000005B">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numerous positive outcomes from continuing to use and develop mother tongue language. Students who can communicate in more than one language are better prepared to participate in a global society.</w:t>
      </w:r>
    </w:p>
    <w:p w:rsidR="00000000" w:rsidDel="00000000" w:rsidP="00000000" w:rsidRDefault="00000000" w:rsidRPr="00000000" w14:paraId="0000005C">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with well-developed skills in their first language have been shown to acquire an additional language more easily and fully and that, in turn, has a positive impact on academic achievement.”  </w:t>
      </w:r>
      <w:r w:rsidDel="00000000" w:rsidR="00000000" w:rsidRPr="00000000">
        <w:rPr>
          <w:rFonts w:ascii="Times New Roman" w:cs="Times New Roman" w:eastAsia="Times New Roman" w:hAnsi="Times New Roman"/>
          <w:i w:val="1"/>
          <w:rtl w:val="0"/>
        </w:rPr>
        <w:t xml:space="preserve">Educating English Language Learners: A Synthesis of Research Evidence.</w:t>
      </w:r>
      <w:r w:rsidDel="00000000" w:rsidR="00000000" w:rsidRPr="00000000">
        <w:rPr>
          <w:rFonts w:ascii="Times New Roman" w:cs="Times New Roman" w:eastAsia="Times New Roman" w:hAnsi="Times New Roman"/>
          <w:rtl w:val="0"/>
        </w:rPr>
        <w:t xml:space="preserve"> Fred Genesee, Kathryn Lindholm-Leary, William Saunders and Donna Christian. Cambridge University Press 2006.</w:t>
      </w:r>
    </w:p>
    <w:p w:rsidR="00000000" w:rsidDel="00000000" w:rsidP="00000000" w:rsidRDefault="00000000" w:rsidRPr="00000000" w14:paraId="0000005D">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support the maintenance of mother tongue, we will:</w:t>
      </w:r>
    </w:p>
    <w:p w:rsidR="00000000" w:rsidDel="00000000" w:rsidP="00000000" w:rsidRDefault="00000000" w:rsidRPr="00000000" w14:paraId="0000005E">
      <w:pPr>
        <w:numPr>
          <w:ilvl w:val="0"/>
          <w:numId w:val="1"/>
        </w:numPr>
        <w:spacing w:line="25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continue to build resources in a variety of community languages for example bilingual texts in the library.</w:t>
      </w:r>
    </w:p>
    <w:p w:rsidR="00000000" w:rsidDel="00000000" w:rsidP="00000000" w:rsidRDefault="00000000" w:rsidRPr="00000000" w14:paraId="0000005F">
      <w:pPr>
        <w:numPr>
          <w:ilvl w:val="0"/>
          <w:numId w:val="1"/>
        </w:numPr>
        <w:spacing w:line="25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acknowledge and celebrate linguistic diversity through displays, multicultural events and units of inquiry.</w:t>
      </w:r>
      <w:r w:rsidDel="00000000" w:rsidR="00000000" w:rsidRPr="00000000">
        <w:rPr>
          <w:rtl w:val="0"/>
        </w:rPr>
      </w:r>
    </w:p>
    <w:p w:rsidR="00000000" w:rsidDel="00000000" w:rsidP="00000000" w:rsidRDefault="00000000" w:rsidRPr="00000000" w14:paraId="00000060">
      <w:pPr>
        <w:numPr>
          <w:ilvl w:val="0"/>
          <w:numId w:val="1"/>
        </w:numPr>
        <w:spacing w:line="25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identify parents who may act as a liaison between school and mother tongue language groups.</w:t>
      </w:r>
    </w:p>
    <w:p w:rsidR="00000000" w:rsidDel="00000000" w:rsidP="00000000" w:rsidRDefault="00000000" w:rsidRPr="00000000" w14:paraId="00000061">
      <w:pPr>
        <w:numPr>
          <w:ilvl w:val="0"/>
          <w:numId w:val="1"/>
        </w:numPr>
        <w:spacing w:line="25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a translator/ interpreter for communications with parents where appropriate.</w:t>
      </w:r>
    </w:p>
    <w:p w:rsidR="00000000" w:rsidDel="00000000" w:rsidP="00000000" w:rsidRDefault="00000000" w:rsidRPr="00000000" w14:paraId="00000062">
      <w:pPr>
        <w:spacing w:line="259"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spacing w:after="160" w:line="259"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4">
      <w:pPr>
        <w:spacing w:after="160" w:line="259"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POLICY REVIEW AND APPROVAL</w:t>
      </w:r>
    </w:p>
    <w:tbl>
      <w:tblPr>
        <w:tblStyle w:val="Table1"/>
        <w:tblW w:w="900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925"/>
        <w:gridCol w:w="6075"/>
        <w:tblGridChange w:id="0">
          <w:tblGrid>
            <w:gridCol w:w="2925"/>
            <w:gridCol w:w="6075"/>
          </w:tblGrid>
        </w:tblGridChange>
      </w:tblGrid>
      <w:tr>
        <w:trPr>
          <w:cantSplit w:val="0"/>
          <w:tblHeader w:val="0"/>
        </w:trPr>
        <w:tc>
          <w:tcPr>
            <w:shd w:fill="auto" w:val="clear"/>
          </w:tcPr>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Policy last reviewed </w:t>
            </w:r>
          </w:p>
        </w:tc>
        <w:tc>
          <w:tcPr>
            <w:shd w:fill="auto" w:val="clear"/>
          </w:tcPr>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October 2025</w:t>
            </w:r>
          </w:p>
        </w:tc>
      </w:tr>
      <w:tr>
        <w:trPr>
          <w:cantSplit w:val="0"/>
          <w:tblHeader w:val="0"/>
        </w:trPr>
        <w:tc>
          <w:tcPr>
            <w:shd w:fill="auto" w:val="clear"/>
          </w:tcPr>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by </w:t>
            </w:r>
          </w:p>
        </w:tc>
        <w:tc>
          <w:tcPr>
            <w:shd w:fill="auto" w:val="clear"/>
          </w:tcPr>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Principal </w:t>
            </w:r>
          </w:p>
        </w:tc>
      </w:tr>
      <w:tr>
        <w:trPr>
          <w:cantSplit w:val="0"/>
          <w:tblHeader w:val="0"/>
        </w:trPr>
        <w:tc>
          <w:tcPr>
            <w:shd w:fill="auto" w:val="clear"/>
          </w:tcPr>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Next scheduled review date </w:t>
            </w:r>
          </w:p>
        </w:tc>
        <w:tc>
          <w:tcPr>
            <w:shd w:fill="auto" w:val="clear"/>
          </w:tcPr>
          <w:p w:rsidR="00000000" w:rsidDel="00000000" w:rsidP="00000000" w:rsidRDefault="00000000" w:rsidRPr="00000000" w14:paraId="0000006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October 2029</w:t>
            </w:r>
          </w:p>
        </w:tc>
      </w:tr>
    </w:tbl>
    <w:p w:rsidR="00000000" w:rsidDel="00000000" w:rsidP="00000000" w:rsidRDefault="00000000" w:rsidRPr="00000000" w14:paraId="0000006B">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83" w:hanging="283"/>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3">
    <w:lvl w:ilvl="0">
      <w:start w:val="1"/>
      <w:numFmt w:val="bullet"/>
      <w:lvlText w:val="✔"/>
      <w:lvlJc w:val="left"/>
      <w:pPr>
        <w:ind w:left="1723" w:hanging="360"/>
      </w:pPr>
      <w:rPr>
        <w:u w:val="none"/>
      </w:rPr>
    </w:lvl>
    <w:lvl w:ilvl="1">
      <w:start w:val="1"/>
      <w:numFmt w:val="bullet"/>
      <w:lvlText w:val="o"/>
      <w:lvlJc w:val="left"/>
      <w:pPr>
        <w:ind w:left="2443" w:hanging="360"/>
      </w:pPr>
      <w:rPr>
        <w:u w:val="none"/>
      </w:rPr>
    </w:lvl>
    <w:lvl w:ilvl="2">
      <w:start w:val="1"/>
      <w:numFmt w:val="bullet"/>
      <w:lvlText w:val="▪"/>
      <w:lvlJc w:val="left"/>
      <w:pPr>
        <w:ind w:left="3163" w:hanging="360"/>
      </w:pPr>
      <w:rPr>
        <w:u w:val="none"/>
      </w:rPr>
    </w:lvl>
    <w:lvl w:ilvl="3">
      <w:start w:val="1"/>
      <w:numFmt w:val="bullet"/>
      <w:lvlText w:val="●"/>
      <w:lvlJc w:val="left"/>
      <w:pPr>
        <w:ind w:left="3883" w:hanging="360"/>
      </w:pPr>
      <w:rPr>
        <w:u w:val="none"/>
      </w:rPr>
    </w:lvl>
    <w:lvl w:ilvl="4">
      <w:start w:val="1"/>
      <w:numFmt w:val="bullet"/>
      <w:lvlText w:val="o"/>
      <w:lvlJc w:val="left"/>
      <w:pPr>
        <w:ind w:left="4603" w:hanging="360"/>
      </w:pPr>
      <w:rPr>
        <w:u w:val="none"/>
      </w:rPr>
    </w:lvl>
    <w:lvl w:ilvl="5">
      <w:start w:val="1"/>
      <w:numFmt w:val="bullet"/>
      <w:lvlText w:val="▪"/>
      <w:lvlJc w:val="left"/>
      <w:pPr>
        <w:ind w:left="5323" w:hanging="360"/>
      </w:pPr>
      <w:rPr>
        <w:u w:val="none"/>
      </w:rPr>
    </w:lvl>
    <w:lvl w:ilvl="6">
      <w:start w:val="1"/>
      <w:numFmt w:val="bullet"/>
      <w:lvlText w:val="●"/>
      <w:lvlJc w:val="left"/>
      <w:pPr>
        <w:ind w:left="6043" w:hanging="360"/>
      </w:pPr>
      <w:rPr>
        <w:u w:val="none"/>
      </w:rPr>
    </w:lvl>
    <w:lvl w:ilvl="7">
      <w:start w:val="1"/>
      <w:numFmt w:val="bullet"/>
      <w:lvlText w:val="o"/>
      <w:lvlJc w:val="left"/>
      <w:pPr>
        <w:ind w:left="6763" w:hanging="360"/>
      </w:pPr>
      <w:rPr>
        <w:u w:val="none"/>
      </w:rPr>
    </w:lvl>
    <w:lvl w:ilvl="8">
      <w:start w:val="1"/>
      <w:numFmt w:val="bullet"/>
      <w:lvlText w:val="▪"/>
      <w:lvlJc w:val="left"/>
      <w:pPr>
        <w:ind w:left="7483"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